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183" w:rsidRPr="00C97183" w:rsidRDefault="00C97183" w:rsidP="00C97183">
      <w:pPr>
        <w:spacing w:after="0" w:line="240" w:lineRule="auto"/>
        <w:jc w:val="center"/>
        <w:rPr>
          <w:rFonts w:ascii="Times New Roman" w:eastAsia="Times New Roman" w:hAnsi="Times New Roman" w:cs="Times New Roman"/>
          <w:sz w:val="24"/>
          <w:szCs w:val="24"/>
        </w:rPr>
      </w:pPr>
      <w:bookmarkStart w:id="0" w:name="_GoBack"/>
      <w:bookmarkEnd w:id="0"/>
      <w:r w:rsidRPr="00C97183">
        <w:rPr>
          <w:rFonts w:ascii="Times New Roman" w:eastAsia="Times New Roman" w:hAnsi="Times New Roman" w:cs="Times New Roman"/>
          <w:b/>
          <w:bCs/>
          <w:sz w:val="24"/>
          <w:szCs w:val="24"/>
        </w:rPr>
        <w:t>42 U.S. 397 (1979)</w:t>
      </w:r>
    </w:p>
    <w:p w:rsidR="00C97183" w:rsidRPr="00C97183" w:rsidRDefault="00C97183" w:rsidP="00C97183">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C97183">
        <w:rPr>
          <w:rFonts w:ascii="Times New Roman" w:eastAsia="Times New Roman" w:hAnsi="Times New Roman" w:cs="Times New Roman"/>
          <w:b/>
          <w:bCs/>
          <w:sz w:val="27"/>
          <w:szCs w:val="27"/>
        </w:rPr>
        <w:t>SOUTHEASTERN COMMUNITY COLLEGE</w:t>
      </w:r>
      <w:r w:rsidRPr="00C97183">
        <w:rPr>
          <w:rFonts w:ascii="Times New Roman" w:eastAsia="Times New Roman" w:hAnsi="Times New Roman" w:cs="Times New Roman"/>
          <w:b/>
          <w:bCs/>
          <w:sz w:val="27"/>
          <w:szCs w:val="27"/>
        </w:rPr>
        <w:br/>
        <w:t>v.</w:t>
      </w:r>
      <w:r w:rsidRPr="00C97183">
        <w:rPr>
          <w:rFonts w:ascii="Times New Roman" w:eastAsia="Times New Roman" w:hAnsi="Times New Roman" w:cs="Times New Roman"/>
          <w:b/>
          <w:bCs/>
          <w:sz w:val="27"/>
          <w:szCs w:val="27"/>
        </w:rPr>
        <w:br/>
        <w:t>DAVIS.</w:t>
      </w:r>
    </w:p>
    <w:p w:rsidR="00C97183" w:rsidRPr="00C97183" w:rsidRDefault="00A50081" w:rsidP="00C97183">
      <w:pPr>
        <w:spacing w:after="0" w:line="240" w:lineRule="auto"/>
        <w:jc w:val="center"/>
        <w:rPr>
          <w:rFonts w:ascii="Times New Roman" w:eastAsia="Times New Roman" w:hAnsi="Times New Roman" w:cs="Times New Roman"/>
          <w:sz w:val="24"/>
          <w:szCs w:val="24"/>
        </w:rPr>
      </w:pPr>
      <w:hyperlink r:id="rId7" w:history="1">
        <w:r w:rsidR="00C97183" w:rsidRPr="00C97183">
          <w:rPr>
            <w:rFonts w:ascii="Times New Roman" w:eastAsia="Times New Roman" w:hAnsi="Times New Roman" w:cs="Times New Roman"/>
            <w:color w:val="0000FF"/>
            <w:sz w:val="24"/>
            <w:szCs w:val="24"/>
            <w:u w:val="single"/>
          </w:rPr>
          <w:t>No. 78-711.</w:t>
        </w:r>
      </w:hyperlink>
    </w:p>
    <w:p w:rsidR="00C97183" w:rsidRPr="00C97183" w:rsidRDefault="00C97183" w:rsidP="00C97183">
      <w:pPr>
        <w:spacing w:before="100" w:beforeAutospacing="1" w:after="100" w:afterAutospacing="1" w:line="240" w:lineRule="auto"/>
        <w:jc w:val="center"/>
        <w:rPr>
          <w:rFonts w:ascii="Times New Roman" w:eastAsia="Times New Roman" w:hAnsi="Times New Roman" w:cs="Times New Roman"/>
          <w:sz w:val="24"/>
          <w:szCs w:val="24"/>
        </w:rPr>
      </w:pPr>
      <w:r w:rsidRPr="00C97183">
        <w:rPr>
          <w:rFonts w:ascii="Times New Roman" w:eastAsia="Times New Roman" w:hAnsi="Times New Roman" w:cs="Times New Roman"/>
          <w:b/>
          <w:bCs/>
          <w:sz w:val="24"/>
          <w:szCs w:val="24"/>
        </w:rPr>
        <w:t>Supreme Court of United States.</w:t>
      </w:r>
    </w:p>
    <w:p w:rsidR="00C97183" w:rsidRPr="00C97183" w:rsidRDefault="00C97183" w:rsidP="00C97183">
      <w:pPr>
        <w:spacing w:after="0" w:line="240" w:lineRule="auto"/>
        <w:jc w:val="center"/>
        <w:rPr>
          <w:rFonts w:ascii="Times New Roman" w:eastAsia="Times New Roman" w:hAnsi="Times New Roman" w:cs="Times New Roman"/>
          <w:sz w:val="24"/>
          <w:szCs w:val="24"/>
        </w:rPr>
      </w:pPr>
      <w:r w:rsidRPr="00C97183">
        <w:rPr>
          <w:rFonts w:ascii="Times New Roman" w:eastAsia="Times New Roman" w:hAnsi="Times New Roman" w:cs="Times New Roman"/>
          <w:sz w:val="24"/>
          <w:szCs w:val="24"/>
        </w:rPr>
        <w:t>Argued April 23, 1979.</w:t>
      </w:r>
    </w:p>
    <w:p w:rsidR="00C97183" w:rsidRPr="00C97183" w:rsidRDefault="00C97183" w:rsidP="00C97183">
      <w:pPr>
        <w:spacing w:after="0" w:line="240" w:lineRule="auto"/>
        <w:jc w:val="center"/>
        <w:rPr>
          <w:rFonts w:ascii="Times New Roman" w:eastAsia="Times New Roman" w:hAnsi="Times New Roman" w:cs="Times New Roman"/>
          <w:sz w:val="24"/>
          <w:szCs w:val="24"/>
        </w:rPr>
      </w:pPr>
      <w:r w:rsidRPr="00C97183">
        <w:rPr>
          <w:rFonts w:ascii="Times New Roman" w:eastAsia="Times New Roman" w:hAnsi="Times New Roman" w:cs="Times New Roman"/>
          <w:sz w:val="24"/>
          <w:szCs w:val="24"/>
        </w:rPr>
        <w:t>Decided June 11, 1979.</w:t>
      </w:r>
    </w:p>
    <w:p w:rsidR="00C97183" w:rsidRPr="00C97183" w:rsidRDefault="00C97183" w:rsidP="00C97183">
      <w:pPr>
        <w:spacing w:after="0" w:line="240" w:lineRule="auto"/>
        <w:rPr>
          <w:rFonts w:ascii="Times New Roman" w:eastAsia="Times New Roman" w:hAnsi="Times New Roman" w:cs="Times New Roman"/>
          <w:sz w:val="24"/>
          <w:szCs w:val="24"/>
        </w:rPr>
      </w:pPr>
      <w:r w:rsidRPr="00C97183">
        <w:rPr>
          <w:rFonts w:ascii="Times New Roman" w:eastAsia="Times New Roman" w:hAnsi="Times New Roman" w:cs="Times New Roman"/>
          <w:sz w:val="24"/>
          <w:szCs w:val="24"/>
        </w:rPr>
        <w:t xml:space="preserve">CERTIORARI TO THE UNITED STATES COURT OF APPEALS FOR THE FOURTH CIRCUIT. </w:t>
      </w:r>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4"/>
          <w:szCs w:val="24"/>
        </w:rPr>
      </w:pPr>
      <w:r w:rsidRPr="00C97183">
        <w:rPr>
          <w:rFonts w:ascii="Times New Roman" w:eastAsia="Times New Roman" w:hAnsi="Times New Roman" w:cs="Times New Roman"/>
          <w:sz w:val="24"/>
          <w:szCs w:val="24"/>
        </w:rPr>
        <w:t xml:space="preserve">399*399 </w:t>
      </w:r>
      <w:r w:rsidRPr="00C97183">
        <w:rPr>
          <w:rFonts w:ascii="Times New Roman" w:eastAsia="Times New Roman" w:hAnsi="Times New Roman" w:cs="Times New Roman"/>
          <w:i/>
          <w:iCs/>
          <w:sz w:val="24"/>
          <w:szCs w:val="24"/>
        </w:rPr>
        <w:t>Eugene Gressman</w:t>
      </w:r>
      <w:r w:rsidRPr="00C97183">
        <w:rPr>
          <w:rFonts w:ascii="Times New Roman" w:eastAsia="Times New Roman" w:hAnsi="Times New Roman" w:cs="Times New Roman"/>
          <w:sz w:val="24"/>
          <w:szCs w:val="24"/>
        </w:rPr>
        <w:t xml:space="preserve"> argued the cause for petitioner. With him on the briefs was </w:t>
      </w:r>
      <w:r w:rsidRPr="00C97183">
        <w:rPr>
          <w:rFonts w:ascii="Times New Roman" w:eastAsia="Times New Roman" w:hAnsi="Times New Roman" w:cs="Times New Roman"/>
          <w:i/>
          <w:iCs/>
          <w:sz w:val="24"/>
          <w:szCs w:val="24"/>
        </w:rPr>
        <w:t>Edward L. Williamson.</w:t>
      </w:r>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4"/>
          <w:szCs w:val="24"/>
        </w:rPr>
      </w:pPr>
      <w:r w:rsidRPr="00C97183">
        <w:rPr>
          <w:rFonts w:ascii="Times New Roman" w:eastAsia="Times New Roman" w:hAnsi="Times New Roman" w:cs="Times New Roman"/>
          <w:i/>
          <w:iCs/>
          <w:sz w:val="24"/>
          <w:szCs w:val="24"/>
        </w:rPr>
        <w:t>Marc P. Charmatz</w:t>
      </w:r>
      <w:r w:rsidRPr="00C97183">
        <w:rPr>
          <w:rFonts w:ascii="Times New Roman" w:eastAsia="Times New Roman" w:hAnsi="Times New Roman" w:cs="Times New Roman"/>
          <w:sz w:val="24"/>
          <w:szCs w:val="24"/>
        </w:rPr>
        <w:t xml:space="preserve"> argued the cause for respondent. With him on the brief were </w:t>
      </w:r>
      <w:r w:rsidRPr="00C97183">
        <w:rPr>
          <w:rFonts w:ascii="Times New Roman" w:eastAsia="Times New Roman" w:hAnsi="Times New Roman" w:cs="Times New Roman"/>
          <w:i/>
          <w:iCs/>
          <w:sz w:val="24"/>
          <w:szCs w:val="24"/>
        </w:rPr>
        <w:t>Seymour DuBow, Philip A. Diehl,</w:t>
      </w:r>
      <w:r w:rsidRPr="00C97183">
        <w:rPr>
          <w:rFonts w:ascii="Times New Roman" w:eastAsia="Times New Roman" w:hAnsi="Times New Roman" w:cs="Times New Roman"/>
          <w:sz w:val="24"/>
          <w:szCs w:val="24"/>
        </w:rPr>
        <w:t xml:space="preserve"> and </w:t>
      </w:r>
      <w:r w:rsidRPr="00C97183">
        <w:rPr>
          <w:rFonts w:ascii="Times New Roman" w:eastAsia="Times New Roman" w:hAnsi="Times New Roman" w:cs="Times New Roman"/>
          <w:i/>
          <w:iCs/>
          <w:sz w:val="24"/>
          <w:szCs w:val="24"/>
        </w:rPr>
        <w:t>Warren L. Pate.</w:t>
      </w:r>
      <w:bookmarkStart w:id="1" w:name="r[1]"/>
      <w:r w:rsidRPr="00C97183">
        <w:rPr>
          <w:rFonts w:ascii="Times New Roman" w:eastAsia="Times New Roman" w:hAnsi="Times New Roman" w:cs="Times New Roman"/>
          <w:sz w:val="24"/>
          <w:szCs w:val="24"/>
          <w:vertAlign w:val="superscript"/>
        </w:rPr>
        <w:fldChar w:fldCharType="begin"/>
      </w:r>
      <w:r w:rsidRPr="00C97183">
        <w:rPr>
          <w:rFonts w:ascii="Times New Roman" w:eastAsia="Times New Roman" w:hAnsi="Times New Roman" w:cs="Times New Roman"/>
          <w:sz w:val="24"/>
          <w:szCs w:val="24"/>
          <w:vertAlign w:val="superscript"/>
        </w:rPr>
        <w:instrText xml:space="preserve"> HYPERLINK "http://scholar.google.com/scholar_case?case=15117215513508737370&amp;hl=en&amp;as_sdt=6&amp;as_vis=1&amp;oi=scholarr" \l "[1]" </w:instrText>
      </w:r>
      <w:r w:rsidRPr="00C97183">
        <w:rPr>
          <w:rFonts w:ascii="Times New Roman" w:eastAsia="Times New Roman" w:hAnsi="Times New Roman" w:cs="Times New Roman"/>
          <w:sz w:val="24"/>
          <w:szCs w:val="24"/>
          <w:vertAlign w:val="superscript"/>
        </w:rPr>
        <w:fldChar w:fldCharType="separate"/>
      </w:r>
      <w:r w:rsidRPr="00C97183">
        <w:rPr>
          <w:rFonts w:ascii="Times New Roman" w:eastAsia="Times New Roman" w:hAnsi="Times New Roman" w:cs="Times New Roman"/>
          <w:color w:val="0000FF"/>
          <w:sz w:val="24"/>
          <w:szCs w:val="24"/>
          <w:u w:val="single"/>
          <w:vertAlign w:val="superscript"/>
        </w:rPr>
        <w:t>[*]</w:t>
      </w:r>
      <w:r w:rsidRPr="00C97183">
        <w:rPr>
          <w:rFonts w:ascii="Times New Roman" w:eastAsia="Times New Roman" w:hAnsi="Times New Roman" w:cs="Times New Roman"/>
          <w:sz w:val="24"/>
          <w:szCs w:val="24"/>
          <w:vertAlign w:val="superscript"/>
        </w:rPr>
        <w:fldChar w:fldCharType="end"/>
      </w:r>
      <w:bookmarkEnd w:id="1"/>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4"/>
          <w:szCs w:val="24"/>
        </w:rPr>
      </w:pPr>
      <w:r w:rsidRPr="00C97183">
        <w:rPr>
          <w:rFonts w:ascii="Times New Roman" w:eastAsia="Times New Roman" w:hAnsi="Times New Roman" w:cs="Times New Roman"/>
          <w:sz w:val="24"/>
          <w:szCs w:val="24"/>
        </w:rPr>
        <w:t xml:space="preserve">Briefs of </w:t>
      </w:r>
      <w:r w:rsidRPr="00C97183">
        <w:rPr>
          <w:rFonts w:ascii="Times New Roman" w:eastAsia="Times New Roman" w:hAnsi="Times New Roman" w:cs="Times New Roman"/>
          <w:i/>
          <w:iCs/>
          <w:sz w:val="24"/>
          <w:szCs w:val="24"/>
        </w:rPr>
        <w:t>amici curiae</w:t>
      </w:r>
      <w:r w:rsidRPr="00C97183">
        <w:rPr>
          <w:rFonts w:ascii="Times New Roman" w:eastAsia="Times New Roman" w:hAnsi="Times New Roman" w:cs="Times New Roman"/>
          <w:sz w:val="24"/>
          <w:szCs w:val="24"/>
        </w:rPr>
        <w:t xml:space="preserve"> urging affirmance were filed by </w:t>
      </w:r>
      <w:r w:rsidRPr="00C97183">
        <w:rPr>
          <w:rFonts w:ascii="Times New Roman" w:eastAsia="Times New Roman" w:hAnsi="Times New Roman" w:cs="Times New Roman"/>
          <w:i/>
          <w:iCs/>
          <w:sz w:val="24"/>
          <w:szCs w:val="24"/>
        </w:rPr>
        <w:t>Solicitor General McCree, Assistant Attorney General Days, Brain K. Landsberg, Jessica Dunsay Silver,</w:t>
      </w:r>
      <w:r w:rsidRPr="00C97183">
        <w:rPr>
          <w:rFonts w:ascii="Times New Roman" w:eastAsia="Times New Roman" w:hAnsi="Times New Roman" w:cs="Times New Roman"/>
          <w:sz w:val="24"/>
          <w:szCs w:val="24"/>
        </w:rPr>
        <w:t xml:space="preserve"> and </w:t>
      </w:r>
      <w:r w:rsidRPr="00C97183">
        <w:rPr>
          <w:rFonts w:ascii="Times New Roman" w:eastAsia="Times New Roman" w:hAnsi="Times New Roman" w:cs="Times New Roman"/>
          <w:i/>
          <w:iCs/>
          <w:sz w:val="24"/>
          <w:szCs w:val="24"/>
        </w:rPr>
        <w:t>Vincent F. O'Rourke, Jr.,</w:t>
      </w:r>
      <w:r w:rsidRPr="00C97183">
        <w:rPr>
          <w:rFonts w:ascii="Times New Roman" w:eastAsia="Times New Roman" w:hAnsi="Times New Roman" w:cs="Times New Roman"/>
          <w:sz w:val="24"/>
          <w:szCs w:val="24"/>
        </w:rPr>
        <w:t xml:space="preserve"> for the United States; by </w:t>
      </w:r>
      <w:r w:rsidRPr="00C97183">
        <w:rPr>
          <w:rFonts w:ascii="Times New Roman" w:eastAsia="Times New Roman" w:hAnsi="Times New Roman" w:cs="Times New Roman"/>
          <w:i/>
          <w:iCs/>
          <w:sz w:val="24"/>
          <w:szCs w:val="24"/>
        </w:rPr>
        <w:t>George Deukmejian,</w:t>
      </w:r>
      <w:r w:rsidRPr="00C97183">
        <w:rPr>
          <w:rFonts w:ascii="Times New Roman" w:eastAsia="Times New Roman" w:hAnsi="Times New Roman" w:cs="Times New Roman"/>
          <w:sz w:val="24"/>
          <w:szCs w:val="24"/>
        </w:rPr>
        <w:t xml:space="preserve"> Attorney General, and </w:t>
      </w:r>
      <w:r w:rsidRPr="00C97183">
        <w:rPr>
          <w:rFonts w:ascii="Times New Roman" w:eastAsia="Times New Roman" w:hAnsi="Times New Roman" w:cs="Times New Roman"/>
          <w:i/>
          <w:iCs/>
          <w:sz w:val="24"/>
          <w:szCs w:val="24"/>
        </w:rPr>
        <w:t>Katherine E. Stone</w:t>
      </w:r>
      <w:r w:rsidRPr="00C97183">
        <w:rPr>
          <w:rFonts w:ascii="Times New Roman" w:eastAsia="Times New Roman" w:hAnsi="Times New Roman" w:cs="Times New Roman"/>
          <w:sz w:val="24"/>
          <w:szCs w:val="24"/>
        </w:rPr>
        <w:t xml:space="preserve"> and </w:t>
      </w:r>
      <w:r w:rsidRPr="00C97183">
        <w:rPr>
          <w:rFonts w:ascii="Times New Roman" w:eastAsia="Times New Roman" w:hAnsi="Times New Roman" w:cs="Times New Roman"/>
          <w:i/>
          <w:iCs/>
          <w:sz w:val="24"/>
          <w:szCs w:val="24"/>
        </w:rPr>
        <w:t>G. R. Overton,</w:t>
      </w:r>
      <w:r w:rsidRPr="00C97183">
        <w:rPr>
          <w:rFonts w:ascii="Times New Roman" w:eastAsia="Times New Roman" w:hAnsi="Times New Roman" w:cs="Times New Roman"/>
          <w:sz w:val="24"/>
          <w:szCs w:val="24"/>
        </w:rPr>
        <w:t xml:space="preserve"> Deputy Attorneys General, for the State of California; by </w:t>
      </w:r>
      <w:r w:rsidRPr="00C97183">
        <w:rPr>
          <w:rFonts w:ascii="Times New Roman" w:eastAsia="Times New Roman" w:hAnsi="Times New Roman" w:cs="Times New Roman"/>
          <w:i/>
          <w:iCs/>
          <w:sz w:val="24"/>
          <w:szCs w:val="24"/>
        </w:rPr>
        <w:t>Frank J. Laski</w:t>
      </w:r>
      <w:r w:rsidRPr="00C97183">
        <w:rPr>
          <w:rFonts w:ascii="Times New Roman" w:eastAsia="Times New Roman" w:hAnsi="Times New Roman" w:cs="Times New Roman"/>
          <w:sz w:val="24"/>
          <w:szCs w:val="24"/>
        </w:rPr>
        <w:t xml:space="preserve"> and </w:t>
      </w:r>
      <w:r w:rsidRPr="00C97183">
        <w:rPr>
          <w:rFonts w:ascii="Times New Roman" w:eastAsia="Times New Roman" w:hAnsi="Times New Roman" w:cs="Times New Roman"/>
          <w:i/>
          <w:iCs/>
          <w:sz w:val="24"/>
          <w:szCs w:val="24"/>
        </w:rPr>
        <w:t>Michael Churchill</w:t>
      </w:r>
      <w:r w:rsidRPr="00C97183">
        <w:rPr>
          <w:rFonts w:ascii="Times New Roman" w:eastAsia="Times New Roman" w:hAnsi="Times New Roman" w:cs="Times New Roman"/>
          <w:sz w:val="24"/>
          <w:szCs w:val="24"/>
        </w:rPr>
        <w:t xml:space="preserve"> for the American Coalition of Citizens with Disabilities et al.; by </w:t>
      </w:r>
      <w:r w:rsidRPr="00C97183">
        <w:rPr>
          <w:rFonts w:ascii="Times New Roman" w:eastAsia="Times New Roman" w:hAnsi="Times New Roman" w:cs="Times New Roman"/>
          <w:i/>
          <w:iCs/>
          <w:sz w:val="24"/>
          <w:szCs w:val="24"/>
        </w:rPr>
        <w:t>Stanley Fleishman</w:t>
      </w:r>
      <w:r w:rsidRPr="00C97183">
        <w:rPr>
          <w:rFonts w:ascii="Times New Roman" w:eastAsia="Times New Roman" w:hAnsi="Times New Roman" w:cs="Times New Roman"/>
          <w:sz w:val="24"/>
          <w:szCs w:val="24"/>
        </w:rPr>
        <w:t xml:space="preserve"> for the California Association for the Physically Handicapped et al.; by </w:t>
      </w:r>
      <w:r w:rsidRPr="00C97183">
        <w:rPr>
          <w:rFonts w:ascii="Times New Roman" w:eastAsia="Times New Roman" w:hAnsi="Times New Roman" w:cs="Times New Roman"/>
          <w:i/>
          <w:iCs/>
          <w:sz w:val="24"/>
          <w:szCs w:val="24"/>
        </w:rPr>
        <w:t>Ann Fagan Ginger</w:t>
      </w:r>
      <w:r w:rsidRPr="00C97183">
        <w:rPr>
          <w:rFonts w:ascii="Times New Roman" w:eastAsia="Times New Roman" w:hAnsi="Times New Roman" w:cs="Times New Roman"/>
          <w:sz w:val="24"/>
          <w:szCs w:val="24"/>
        </w:rPr>
        <w:t xml:space="preserve"> for the Center for Independent Living et al.; by </w:t>
      </w:r>
      <w:r w:rsidRPr="00C97183">
        <w:rPr>
          <w:rFonts w:ascii="Times New Roman" w:eastAsia="Times New Roman" w:hAnsi="Times New Roman" w:cs="Times New Roman"/>
          <w:i/>
          <w:iCs/>
          <w:sz w:val="24"/>
          <w:szCs w:val="24"/>
        </w:rPr>
        <w:t>Douglas L. Parker</w:t>
      </w:r>
      <w:r w:rsidRPr="00C97183">
        <w:rPr>
          <w:rFonts w:ascii="Times New Roman" w:eastAsia="Times New Roman" w:hAnsi="Times New Roman" w:cs="Times New Roman"/>
          <w:sz w:val="24"/>
          <w:szCs w:val="24"/>
        </w:rPr>
        <w:t xml:space="preserve"> for the Institute for Public Representation et al.; and by </w:t>
      </w:r>
      <w:r w:rsidRPr="00C97183">
        <w:rPr>
          <w:rFonts w:ascii="Times New Roman" w:eastAsia="Times New Roman" w:hAnsi="Times New Roman" w:cs="Times New Roman"/>
          <w:i/>
          <w:iCs/>
          <w:sz w:val="24"/>
          <w:szCs w:val="24"/>
        </w:rPr>
        <w:t>John E. Kirklin</w:t>
      </w:r>
      <w:r w:rsidRPr="00C97183">
        <w:rPr>
          <w:rFonts w:ascii="Times New Roman" w:eastAsia="Times New Roman" w:hAnsi="Times New Roman" w:cs="Times New Roman"/>
          <w:sz w:val="24"/>
          <w:szCs w:val="24"/>
        </w:rPr>
        <w:t xml:space="preserve"> for the New York City Council of Organizations Serving the Deaf et al.</w:t>
      </w:r>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4"/>
          <w:szCs w:val="24"/>
        </w:rPr>
      </w:pPr>
      <w:r w:rsidRPr="00C97183">
        <w:rPr>
          <w:rFonts w:ascii="Times New Roman" w:eastAsia="Times New Roman" w:hAnsi="Times New Roman" w:cs="Times New Roman"/>
          <w:sz w:val="24"/>
          <w:szCs w:val="24"/>
        </w:rPr>
        <w:t xml:space="preserve">Briefs of </w:t>
      </w:r>
      <w:r w:rsidRPr="00C97183">
        <w:rPr>
          <w:rFonts w:ascii="Times New Roman" w:eastAsia="Times New Roman" w:hAnsi="Times New Roman" w:cs="Times New Roman"/>
          <w:i/>
          <w:iCs/>
          <w:sz w:val="24"/>
          <w:szCs w:val="24"/>
        </w:rPr>
        <w:t>amici curiae</w:t>
      </w:r>
      <w:r w:rsidRPr="00C97183">
        <w:rPr>
          <w:rFonts w:ascii="Times New Roman" w:eastAsia="Times New Roman" w:hAnsi="Times New Roman" w:cs="Times New Roman"/>
          <w:sz w:val="24"/>
          <w:szCs w:val="24"/>
        </w:rPr>
        <w:t xml:space="preserve"> were filed by </w:t>
      </w:r>
      <w:r w:rsidRPr="00C97183">
        <w:rPr>
          <w:rFonts w:ascii="Times New Roman" w:eastAsia="Times New Roman" w:hAnsi="Times New Roman" w:cs="Times New Roman"/>
          <w:i/>
          <w:iCs/>
          <w:sz w:val="24"/>
          <w:szCs w:val="24"/>
        </w:rPr>
        <w:t>Edward G. Biester, Jr.,</w:t>
      </w:r>
      <w:r w:rsidRPr="00C97183">
        <w:rPr>
          <w:rFonts w:ascii="Times New Roman" w:eastAsia="Times New Roman" w:hAnsi="Times New Roman" w:cs="Times New Roman"/>
          <w:sz w:val="24"/>
          <w:szCs w:val="24"/>
        </w:rPr>
        <w:t xml:space="preserve"> Attorney General, and </w:t>
      </w:r>
      <w:r w:rsidRPr="00C97183">
        <w:rPr>
          <w:rFonts w:ascii="Times New Roman" w:eastAsia="Times New Roman" w:hAnsi="Times New Roman" w:cs="Times New Roman"/>
          <w:i/>
          <w:iCs/>
          <w:sz w:val="24"/>
          <w:szCs w:val="24"/>
        </w:rPr>
        <w:t>Robert E. Rains, Allen C. Warshaw,</w:t>
      </w:r>
      <w:r w:rsidRPr="00C97183">
        <w:rPr>
          <w:rFonts w:ascii="Times New Roman" w:eastAsia="Times New Roman" w:hAnsi="Times New Roman" w:cs="Times New Roman"/>
          <w:sz w:val="24"/>
          <w:szCs w:val="24"/>
        </w:rPr>
        <w:t xml:space="preserve"> and </w:t>
      </w:r>
      <w:r w:rsidRPr="00C97183">
        <w:rPr>
          <w:rFonts w:ascii="Times New Roman" w:eastAsia="Times New Roman" w:hAnsi="Times New Roman" w:cs="Times New Roman"/>
          <w:i/>
          <w:iCs/>
          <w:sz w:val="24"/>
          <w:szCs w:val="24"/>
        </w:rPr>
        <w:t>J. Justin Blewitt, Jr.,</w:t>
      </w:r>
      <w:r w:rsidRPr="00C97183">
        <w:rPr>
          <w:rFonts w:ascii="Times New Roman" w:eastAsia="Times New Roman" w:hAnsi="Times New Roman" w:cs="Times New Roman"/>
          <w:sz w:val="24"/>
          <w:szCs w:val="24"/>
        </w:rPr>
        <w:t xml:space="preserve"> Deputy Attorneys General, for Pennsylvania; by </w:t>
      </w:r>
      <w:r w:rsidRPr="00C97183">
        <w:rPr>
          <w:rFonts w:ascii="Times New Roman" w:eastAsia="Times New Roman" w:hAnsi="Times New Roman" w:cs="Times New Roman"/>
          <w:i/>
          <w:iCs/>
          <w:sz w:val="24"/>
          <w:szCs w:val="24"/>
        </w:rPr>
        <w:t>John D. Lane</w:t>
      </w:r>
      <w:r w:rsidRPr="00C97183">
        <w:rPr>
          <w:rFonts w:ascii="Times New Roman" w:eastAsia="Times New Roman" w:hAnsi="Times New Roman" w:cs="Times New Roman"/>
          <w:sz w:val="24"/>
          <w:szCs w:val="24"/>
        </w:rPr>
        <w:t xml:space="preserve"> for the American Association for the Advancement of Science et al.; by </w:t>
      </w:r>
      <w:r w:rsidRPr="00C97183">
        <w:rPr>
          <w:rFonts w:ascii="Times New Roman" w:eastAsia="Times New Roman" w:hAnsi="Times New Roman" w:cs="Times New Roman"/>
          <w:i/>
          <w:iCs/>
          <w:sz w:val="24"/>
          <w:szCs w:val="24"/>
        </w:rPr>
        <w:t>Fred Okrand</w:t>
      </w:r>
      <w:r w:rsidRPr="00C97183">
        <w:rPr>
          <w:rFonts w:ascii="Times New Roman" w:eastAsia="Times New Roman" w:hAnsi="Times New Roman" w:cs="Times New Roman"/>
          <w:sz w:val="24"/>
          <w:szCs w:val="24"/>
        </w:rPr>
        <w:t xml:space="preserve"> and </w:t>
      </w:r>
      <w:r w:rsidRPr="00C97183">
        <w:rPr>
          <w:rFonts w:ascii="Times New Roman" w:eastAsia="Times New Roman" w:hAnsi="Times New Roman" w:cs="Times New Roman"/>
          <w:i/>
          <w:iCs/>
          <w:sz w:val="24"/>
          <w:szCs w:val="24"/>
        </w:rPr>
        <w:t>Sam Rosenwein</w:t>
      </w:r>
      <w:r w:rsidRPr="00C97183">
        <w:rPr>
          <w:rFonts w:ascii="Times New Roman" w:eastAsia="Times New Roman" w:hAnsi="Times New Roman" w:cs="Times New Roman"/>
          <w:sz w:val="24"/>
          <w:szCs w:val="24"/>
        </w:rPr>
        <w:t xml:space="preserve"> for the American Civil Liberties Union et al.; by </w:t>
      </w:r>
      <w:r w:rsidRPr="00C97183">
        <w:rPr>
          <w:rFonts w:ascii="Times New Roman" w:eastAsia="Times New Roman" w:hAnsi="Times New Roman" w:cs="Times New Roman"/>
          <w:i/>
          <w:iCs/>
          <w:sz w:val="24"/>
          <w:szCs w:val="24"/>
        </w:rPr>
        <w:t>Sheldon Elliot Steinbach</w:t>
      </w:r>
      <w:r w:rsidRPr="00C97183">
        <w:rPr>
          <w:rFonts w:ascii="Times New Roman" w:eastAsia="Times New Roman" w:hAnsi="Times New Roman" w:cs="Times New Roman"/>
          <w:sz w:val="24"/>
          <w:szCs w:val="24"/>
        </w:rPr>
        <w:t xml:space="preserve"> for the American Council on Education; and by </w:t>
      </w:r>
      <w:r w:rsidRPr="00C97183">
        <w:rPr>
          <w:rFonts w:ascii="Times New Roman" w:eastAsia="Times New Roman" w:hAnsi="Times New Roman" w:cs="Times New Roman"/>
          <w:i/>
          <w:iCs/>
          <w:sz w:val="24"/>
          <w:szCs w:val="24"/>
        </w:rPr>
        <w:t>Elizabeth C. Bunting</w:t>
      </w:r>
      <w:r w:rsidRPr="00C97183">
        <w:rPr>
          <w:rFonts w:ascii="Times New Roman" w:eastAsia="Times New Roman" w:hAnsi="Times New Roman" w:cs="Times New Roman"/>
          <w:sz w:val="24"/>
          <w:szCs w:val="24"/>
        </w:rPr>
        <w:t xml:space="preserve"> for the Board of Governors of the University of North Carolina.</w:t>
      </w:r>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4"/>
          <w:szCs w:val="24"/>
        </w:rPr>
      </w:pPr>
      <w:r w:rsidRPr="00C97183">
        <w:rPr>
          <w:rFonts w:ascii="Times New Roman" w:eastAsia="Times New Roman" w:hAnsi="Times New Roman" w:cs="Times New Roman"/>
          <w:sz w:val="24"/>
          <w:szCs w:val="24"/>
        </w:rPr>
        <w:t>400*400 MR. JUSTICE POWELL delivered the opinion of the Court.</w:t>
      </w:r>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4"/>
          <w:szCs w:val="24"/>
        </w:rPr>
      </w:pPr>
      <w:r w:rsidRPr="00C97183">
        <w:rPr>
          <w:rFonts w:ascii="Times New Roman" w:eastAsia="Times New Roman" w:hAnsi="Times New Roman" w:cs="Times New Roman"/>
          <w:sz w:val="24"/>
          <w:szCs w:val="24"/>
        </w:rPr>
        <w:t>This case presents a matter of first impression for this Court: Whether § 504 of the Rehabilitation Act of 1973, which prohibits discrimination against an "otherwise qualified handicapped individual" in federally funded programs "solely by reason of his handicap," forbids professional schools from imposing physical qualifications for admission to their clinical training programs.</w:t>
      </w:r>
    </w:p>
    <w:p w:rsidR="00C97183" w:rsidRPr="00C97183" w:rsidRDefault="00C97183" w:rsidP="00C97183">
      <w:pPr>
        <w:spacing w:before="100" w:beforeAutospacing="1" w:after="100" w:afterAutospacing="1" w:line="240" w:lineRule="auto"/>
        <w:outlineLvl w:val="1"/>
        <w:rPr>
          <w:rFonts w:ascii="Times New Roman" w:eastAsia="Times New Roman" w:hAnsi="Times New Roman" w:cs="Times New Roman"/>
          <w:b/>
          <w:bCs/>
          <w:sz w:val="36"/>
          <w:szCs w:val="36"/>
        </w:rPr>
      </w:pPr>
      <w:r w:rsidRPr="00C97183">
        <w:rPr>
          <w:rFonts w:ascii="Times New Roman" w:eastAsia="Times New Roman" w:hAnsi="Times New Roman" w:cs="Times New Roman"/>
          <w:b/>
          <w:bCs/>
          <w:sz w:val="36"/>
          <w:szCs w:val="36"/>
        </w:rPr>
        <w:lastRenderedPageBreak/>
        <w:t>I</w:t>
      </w:r>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4"/>
          <w:szCs w:val="24"/>
        </w:rPr>
      </w:pPr>
      <w:r w:rsidRPr="00C97183">
        <w:rPr>
          <w:rFonts w:ascii="Times New Roman" w:eastAsia="Times New Roman" w:hAnsi="Times New Roman" w:cs="Times New Roman"/>
          <w:sz w:val="24"/>
          <w:szCs w:val="24"/>
        </w:rPr>
        <w:t>Respondent, who suffers from a serious hearing disability, seeks to be trained as a registered nurse. During the 1973-1974 academic year she was enrolled in the College Parallel program of Southeastern Community College, a state institution that receives federal funds. Respondent hoped to progress to Southeastern's Associate Degree Nursing program, completion of which would make her eligible for state certification as a registered nurse. In the course of her application to the nursing program, she was interviewed by a member of the nursing faculty. It became apparent that respondent had difficulty understanding questions asked, and on inquiry she acknowledged a history of hearing problems and dependence on a hearing aid. She was advised to consult an audiologist.</w:t>
      </w:r>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4"/>
          <w:szCs w:val="24"/>
        </w:rPr>
      </w:pPr>
      <w:r w:rsidRPr="00C97183">
        <w:rPr>
          <w:rFonts w:ascii="Times New Roman" w:eastAsia="Times New Roman" w:hAnsi="Times New Roman" w:cs="Times New Roman"/>
          <w:sz w:val="24"/>
          <w:szCs w:val="24"/>
        </w:rPr>
        <w:t xml:space="preserve">401*401 On the basis of an examination at Duke University Medical Center, respondent was diagnosed as having a "bilateral, sensori-neural hearing loss." App. 127a. A change in her hearing aid was recommended, as a result of which it was expected that she would be able to detect sounds "almost as well as a person would who has normal hearing." </w:t>
      </w:r>
      <w:r w:rsidRPr="00C97183">
        <w:rPr>
          <w:rFonts w:ascii="Times New Roman" w:eastAsia="Times New Roman" w:hAnsi="Times New Roman" w:cs="Times New Roman"/>
          <w:i/>
          <w:iCs/>
          <w:sz w:val="24"/>
          <w:szCs w:val="24"/>
        </w:rPr>
        <w:t>Id.,</w:t>
      </w:r>
      <w:r w:rsidRPr="00C97183">
        <w:rPr>
          <w:rFonts w:ascii="Times New Roman" w:eastAsia="Times New Roman" w:hAnsi="Times New Roman" w:cs="Times New Roman"/>
          <w:sz w:val="24"/>
          <w:szCs w:val="24"/>
        </w:rPr>
        <w:t xml:space="preserve"> at 127a-128a. But this improvement would not mean that she could discriminate among sounds sufficiently to understand normal spoken speech. Her lipreading skills would remain necessary for effective communication: "While wearing the hearing aid, she is well aware of gross sounds occurring in the listening environment. However, she can only be responsible for speech spoken to her, when the talker gets her attention and allows her to look directly at the talker." </w:t>
      </w:r>
      <w:r w:rsidRPr="00C97183">
        <w:rPr>
          <w:rFonts w:ascii="Times New Roman" w:eastAsia="Times New Roman" w:hAnsi="Times New Roman" w:cs="Times New Roman"/>
          <w:i/>
          <w:iCs/>
          <w:sz w:val="24"/>
          <w:szCs w:val="24"/>
        </w:rPr>
        <w:t>Id.,</w:t>
      </w:r>
      <w:r w:rsidRPr="00C97183">
        <w:rPr>
          <w:rFonts w:ascii="Times New Roman" w:eastAsia="Times New Roman" w:hAnsi="Times New Roman" w:cs="Times New Roman"/>
          <w:sz w:val="24"/>
          <w:szCs w:val="24"/>
        </w:rPr>
        <w:t xml:space="preserve"> at 128a.</w:t>
      </w:r>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4"/>
          <w:szCs w:val="24"/>
        </w:rPr>
      </w:pPr>
      <w:r w:rsidRPr="00C97183">
        <w:rPr>
          <w:rFonts w:ascii="Times New Roman" w:eastAsia="Times New Roman" w:hAnsi="Times New Roman" w:cs="Times New Roman"/>
          <w:sz w:val="24"/>
          <w:szCs w:val="24"/>
        </w:rPr>
        <w:t>Southeastern next consulted Mary McRee, Executive Director of the North Carolina Board of Nursing. On the basis of the audiologist's report, McRee recommended that respondent not be admitted to the nursing program. In McRee's view, respondent's hearing disability made it unsafe for her to practice as a nurse.</w:t>
      </w:r>
      <w:bookmarkStart w:id="2" w:name="r[2]"/>
      <w:r w:rsidRPr="00C97183">
        <w:rPr>
          <w:rFonts w:ascii="Times New Roman" w:eastAsia="Times New Roman" w:hAnsi="Times New Roman" w:cs="Times New Roman"/>
          <w:sz w:val="24"/>
          <w:szCs w:val="24"/>
          <w:vertAlign w:val="superscript"/>
        </w:rPr>
        <w:fldChar w:fldCharType="begin"/>
      </w:r>
      <w:r w:rsidRPr="00C97183">
        <w:rPr>
          <w:rFonts w:ascii="Times New Roman" w:eastAsia="Times New Roman" w:hAnsi="Times New Roman" w:cs="Times New Roman"/>
          <w:sz w:val="24"/>
          <w:szCs w:val="24"/>
          <w:vertAlign w:val="superscript"/>
        </w:rPr>
        <w:instrText xml:space="preserve"> HYPERLINK "http://scholar.google.com/scholar_case?case=15117215513508737370&amp;hl=en&amp;as_sdt=6&amp;as_vis=1&amp;oi=scholarr" \l "[2]" </w:instrText>
      </w:r>
      <w:r w:rsidRPr="00C97183">
        <w:rPr>
          <w:rFonts w:ascii="Times New Roman" w:eastAsia="Times New Roman" w:hAnsi="Times New Roman" w:cs="Times New Roman"/>
          <w:sz w:val="24"/>
          <w:szCs w:val="24"/>
          <w:vertAlign w:val="superscript"/>
        </w:rPr>
        <w:fldChar w:fldCharType="separate"/>
      </w:r>
      <w:r w:rsidRPr="00C97183">
        <w:rPr>
          <w:rFonts w:ascii="Times New Roman" w:eastAsia="Times New Roman" w:hAnsi="Times New Roman" w:cs="Times New Roman"/>
          <w:color w:val="0000FF"/>
          <w:sz w:val="24"/>
          <w:szCs w:val="24"/>
          <w:u w:val="single"/>
          <w:vertAlign w:val="superscript"/>
        </w:rPr>
        <w:t>[1]</w:t>
      </w:r>
      <w:r w:rsidRPr="00C97183">
        <w:rPr>
          <w:rFonts w:ascii="Times New Roman" w:eastAsia="Times New Roman" w:hAnsi="Times New Roman" w:cs="Times New Roman"/>
          <w:sz w:val="24"/>
          <w:szCs w:val="24"/>
          <w:vertAlign w:val="superscript"/>
        </w:rPr>
        <w:fldChar w:fldCharType="end"/>
      </w:r>
      <w:bookmarkEnd w:id="2"/>
      <w:r w:rsidRPr="00C97183">
        <w:rPr>
          <w:rFonts w:ascii="Times New Roman" w:eastAsia="Times New Roman" w:hAnsi="Times New Roman" w:cs="Times New Roman"/>
          <w:sz w:val="24"/>
          <w:szCs w:val="24"/>
        </w:rPr>
        <w:t xml:space="preserve"> In addition, it would be impossible for respondent to participate safely in the normal clinical training program, and those modifications that would be necessary to enable safe participation would prevent her from 402*402 realizing the benefits of the program: "To adjust patient learning experiences in keeping with [respondent's] hearing limitations could, in fact, be the same as denying her full learning to meet the objectives of your nursing programs." </w:t>
      </w:r>
      <w:r w:rsidRPr="00C97183">
        <w:rPr>
          <w:rFonts w:ascii="Times New Roman" w:eastAsia="Times New Roman" w:hAnsi="Times New Roman" w:cs="Times New Roman"/>
          <w:i/>
          <w:iCs/>
          <w:sz w:val="24"/>
          <w:szCs w:val="24"/>
        </w:rPr>
        <w:t>Id.,</w:t>
      </w:r>
      <w:r w:rsidRPr="00C97183">
        <w:rPr>
          <w:rFonts w:ascii="Times New Roman" w:eastAsia="Times New Roman" w:hAnsi="Times New Roman" w:cs="Times New Roman"/>
          <w:sz w:val="24"/>
          <w:szCs w:val="24"/>
        </w:rPr>
        <w:t xml:space="preserve"> at 132a-133a.</w:t>
      </w:r>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4"/>
          <w:szCs w:val="24"/>
        </w:rPr>
      </w:pPr>
      <w:r w:rsidRPr="00C97183">
        <w:rPr>
          <w:rFonts w:ascii="Times New Roman" w:eastAsia="Times New Roman" w:hAnsi="Times New Roman" w:cs="Times New Roman"/>
          <w:sz w:val="24"/>
          <w:szCs w:val="24"/>
        </w:rPr>
        <w:t xml:space="preserve">After respondent was notified that she was not qualified for nursing study because of her hearing disability, she requested reconsideration of the decision. The entire nursing staff of Southeastern was assembled, and McRee again was consulted. McRee repeated her conclusion that on the basis of the available evidence, respondent "has hearing limitations which could interfere with her safely caring for patients." </w:t>
      </w:r>
      <w:r w:rsidRPr="00C97183">
        <w:rPr>
          <w:rFonts w:ascii="Times New Roman" w:eastAsia="Times New Roman" w:hAnsi="Times New Roman" w:cs="Times New Roman"/>
          <w:i/>
          <w:iCs/>
          <w:sz w:val="24"/>
          <w:szCs w:val="24"/>
        </w:rPr>
        <w:t>Id.,</w:t>
      </w:r>
      <w:r w:rsidRPr="00C97183">
        <w:rPr>
          <w:rFonts w:ascii="Times New Roman" w:eastAsia="Times New Roman" w:hAnsi="Times New Roman" w:cs="Times New Roman"/>
          <w:sz w:val="24"/>
          <w:szCs w:val="24"/>
        </w:rPr>
        <w:t xml:space="preserve"> at 139a. Upon further deliberation, the staff voted to deny respondent admission.</w:t>
      </w:r>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4"/>
          <w:szCs w:val="24"/>
        </w:rPr>
      </w:pPr>
      <w:r w:rsidRPr="00C97183">
        <w:rPr>
          <w:rFonts w:ascii="Times New Roman" w:eastAsia="Times New Roman" w:hAnsi="Times New Roman" w:cs="Times New Roman"/>
          <w:sz w:val="24"/>
          <w:szCs w:val="24"/>
        </w:rPr>
        <w:t>Respondent then filed suit in the United States District Court for the Eastern District of North Carolina, alleging both a violation of § 504 of the Rehabilitation Act of 1973, 87 Stat. 394, as amended, 29 U. S. C. § 794 (1976 ed., Supp. III),</w:t>
      </w:r>
      <w:bookmarkStart w:id="3" w:name="r[3]"/>
      <w:r w:rsidRPr="00C97183">
        <w:rPr>
          <w:rFonts w:ascii="Times New Roman" w:eastAsia="Times New Roman" w:hAnsi="Times New Roman" w:cs="Times New Roman"/>
          <w:sz w:val="24"/>
          <w:szCs w:val="24"/>
          <w:vertAlign w:val="superscript"/>
        </w:rPr>
        <w:fldChar w:fldCharType="begin"/>
      </w:r>
      <w:r w:rsidRPr="00C97183">
        <w:rPr>
          <w:rFonts w:ascii="Times New Roman" w:eastAsia="Times New Roman" w:hAnsi="Times New Roman" w:cs="Times New Roman"/>
          <w:sz w:val="24"/>
          <w:szCs w:val="24"/>
          <w:vertAlign w:val="superscript"/>
        </w:rPr>
        <w:instrText xml:space="preserve"> HYPERLINK "http://scholar.google.com/scholar_case?case=15117215513508737370&amp;hl=en&amp;as_sdt=6&amp;as_vis=1&amp;oi=scholarr" \l "[3]" </w:instrText>
      </w:r>
      <w:r w:rsidRPr="00C97183">
        <w:rPr>
          <w:rFonts w:ascii="Times New Roman" w:eastAsia="Times New Roman" w:hAnsi="Times New Roman" w:cs="Times New Roman"/>
          <w:sz w:val="24"/>
          <w:szCs w:val="24"/>
          <w:vertAlign w:val="superscript"/>
        </w:rPr>
        <w:fldChar w:fldCharType="separate"/>
      </w:r>
      <w:r w:rsidRPr="00C97183">
        <w:rPr>
          <w:rFonts w:ascii="Times New Roman" w:eastAsia="Times New Roman" w:hAnsi="Times New Roman" w:cs="Times New Roman"/>
          <w:color w:val="0000FF"/>
          <w:sz w:val="24"/>
          <w:szCs w:val="24"/>
          <w:u w:val="single"/>
          <w:vertAlign w:val="superscript"/>
        </w:rPr>
        <w:t>[2]</w:t>
      </w:r>
      <w:r w:rsidRPr="00C97183">
        <w:rPr>
          <w:rFonts w:ascii="Times New Roman" w:eastAsia="Times New Roman" w:hAnsi="Times New Roman" w:cs="Times New Roman"/>
          <w:sz w:val="24"/>
          <w:szCs w:val="24"/>
          <w:vertAlign w:val="superscript"/>
        </w:rPr>
        <w:fldChar w:fldCharType="end"/>
      </w:r>
      <w:bookmarkEnd w:id="3"/>
      <w:r w:rsidRPr="00C97183">
        <w:rPr>
          <w:rFonts w:ascii="Times New Roman" w:eastAsia="Times New Roman" w:hAnsi="Times New Roman" w:cs="Times New Roman"/>
          <w:sz w:val="24"/>
          <w:szCs w:val="24"/>
        </w:rPr>
        <w:t xml:space="preserve"> 403*403 and a denial of equal protection and due process. After a bench trial, the District Court entered judgment in favor of Southeastern. 424 F. Supp. 1341 (1976). It confirmed the findings of the audiologist that even with a hearing aid respondent cannot understand speech directed to her except through lipreading, and further found:</w:t>
      </w:r>
    </w:p>
    <w:p w:rsidR="00C97183" w:rsidRPr="00C97183" w:rsidRDefault="00C97183" w:rsidP="00C97183">
      <w:pPr>
        <w:spacing w:after="100" w:line="240" w:lineRule="auto"/>
        <w:rPr>
          <w:rFonts w:ascii="Times New Roman" w:eastAsia="Times New Roman" w:hAnsi="Times New Roman" w:cs="Times New Roman"/>
          <w:sz w:val="24"/>
          <w:szCs w:val="24"/>
        </w:rPr>
      </w:pPr>
      <w:r w:rsidRPr="00C97183">
        <w:rPr>
          <w:rFonts w:ascii="Times New Roman" w:eastAsia="Times New Roman" w:hAnsi="Times New Roman" w:cs="Times New Roman"/>
          <w:sz w:val="24"/>
          <w:szCs w:val="24"/>
        </w:rPr>
        <w:lastRenderedPageBreak/>
        <w:t xml:space="preserve">"[I]n many situations such as an operation room intensive care unit, or post-natal care unit, all doctors and nurses wear surgical masks which would make lipreading impossible. Additionally, in many situations a Registered Nurse would be required to instantly follow the physician's instructions concerning procurement of various types of instruments and drugs where the physician would be unable to get the nurse's attention by other than vocal means." </w:t>
      </w:r>
      <w:r w:rsidRPr="00C97183">
        <w:rPr>
          <w:rFonts w:ascii="Times New Roman" w:eastAsia="Times New Roman" w:hAnsi="Times New Roman" w:cs="Times New Roman"/>
          <w:i/>
          <w:iCs/>
          <w:sz w:val="24"/>
          <w:szCs w:val="24"/>
        </w:rPr>
        <w:t>Id.,</w:t>
      </w:r>
      <w:r w:rsidRPr="00C97183">
        <w:rPr>
          <w:rFonts w:ascii="Times New Roman" w:eastAsia="Times New Roman" w:hAnsi="Times New Roman" w:cs="Times New Roman"/>
          <w:sz w:val="24"/>
          <w:szCs w:val="24"/>
        </w:rPr>
        <w:t xml:space="preserve"> at 1343.</w:t>
      </w:r>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4"/>
          <w:szCs w:val="24"/>
        </w:rPr>
      </w:pPr>
      <w:r w:rsidRPr="00C97183">
        <w:rPr>
          <w:rFonts w:ascii="Times New Roman" w:eastAsia="Times New Roman" w:hAnsi="Times New Roman" w:cs="Times New Roman"/>
          <w:sz w:val="24"/>
          <w:szCs w:val="24"/>
        </w:rPr>
        <w:t>Accordingly, the court concluded:</w:t>
      </w:r>
    </w:p>
    <w:p w:rsidR="00C97183" w:rsidRPr="00C97183" w:rsidRDefault="00C97183" w:rsidP="00C97183">
      <w:pPr>
        <w:spacing w:after="100" w:line="240" w:lineRule="auto"/>
        <w:rPr>
          <w:rFonts w:ascii="Times New Roman" w:eastAsia="Times New Roman" w:hAnsi="Times New Roman" w:cs="Times New Roman"/>
          <w:sz w:val="24"/>
          <w:szCs w:val="24"/>
        </w:rPr>
      </w:pPr>
      <w:r w:rsidRPr="00C97183">
        <w:rPr>
          <w:rFonts w:ascii="Times New Roman" w:eastAsia="Times New Roman" w:hAnsi="Times New Roman" w:cs="Times New Roman"/>
          <w:sz w:val="24"/>
          <w:szCs w:val="24"/>
        </w:rPr>
        <w:t xml:space="preserve">"[Respondent's] handicap actually prevents her from safely performing in both her training program and her proposed profession. The trial testimony indicated numerous situations where [respondent's] particular disability would render her unable to function properly. Of particular concern to the court in this case is the potential of danger to future patients in such situations." </w:t>
      </w:r>
      <w:r w:rsidRPr="00C97183">
        <w:rPr>
          <w:rFonts w:ascii="Times New Roman" w:eastAsia="Times New Roman" w:hAnsi="Times New Roman" w:cs="Times New Roman"/>
          <w:i/>
          <w:iCs/>
          <w:sz w:val="24"/>
          <w:szCs w:val="24"/>
        </w:rPr>
        <w:t>Id.,</w:t>
      </w:r>
      <w:r w:rsidRPr="00C97183">
        <w:rPr>
          <w:rFonts w:ascii="Times New Roman" w:eastAsia="Times New Roman" w:hAnsi="Times New Roman" w:cs="Times New Roman"/>
          <w:sz w:val="24"/>
          <w:szCs w:val="24"/>
        </w:rPr>
        <w:t xml:space="preserve"> at 1345.</w:t>
      </w:r>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4"/>
          <w:szCs w:val="24"/>
        </w:rPr>
      </w:pPr>
      <w:r w:rsidRPr="00C97183">
        <w:rPr>
          <w:rFonts w:ascii="Times New Roman" w:eastAsia="Times New Roman" w:hAnsi="Times New Roman" w:cs="Times New Roman"/>
          <w:sz w:val="24"/>
          <w:szCs w:val="24"/>
        </w:rPr>
        <w:t>Based on these findings, the District Court concluded that respondent was not an "otherwise qualified handicapped individual" protected against discrimination by § 504. In its view, "[o]therwise qualified, can only be read to mean otherwise able to function sufficiently in the position sought in spite of the handicap, if proper training and facilities are suitable and available." 424 F. Supp., at 1345. Because respondent's disability would prevent her from functioning "sufficiently" in Southeastern's nursing program, the court 404*404 held that the decision to exclude her was not discriminatory within the meaning of § 504.</w:t>
      </w:r>
      <w:bookmarkStart w:id="4" w:name="r[4]"/>
      <w:r w:rsidRPr="00C97183">
        <w:rPr>
          <w:rFonts w:ascii="Times New Roman" w:eastAsia="Times New Roman" w:hAnsi="Times New Roman" w:cs="Times New Roman"/>
          <w:sz w:val="24"/>
          <w:szCs w:val="24"/>
          <w:vertAlign w:val="superscript"/>
        </w:rPr>
        <w:fldChar w:fldCharType="begin"/>
      </w:r>
      <w:r w:rsidRPr="00C97183">
        <w:rPr>
          <w:rFonts w:ascii="Times New Roman" w:eastAsia="Times New Roman" w:hAnsi="Times New Roman" w:cs="Times New Roman"/>
          <w:sz w:val="24"/>
          <w:szCs w:val="24"/>
          <w:vertAlign w:val="superscript"/>
        </w:rPr>
        <w:instrText xml:space="preserve"> HYPERLINK "http://scholar.google.com/scholar_case?case=15117215513508737370&amp;hl=en&amp;as_sdt=6&amp;as_vis=1&amp;oi=scholarr" \l "[4]" </w:instrText>
      </w:r>
      <w:r w:rsidRPr="00C97183">
        <w:rPr>
          <w:rFonts w:ascii="Times New Roman" w:eastAsia="Times New Roman" w:hAnsi="Times New Roman" w:cs="Times New Roman"/>
          <w:sz w:val="24"/>
          <w:szCs w:val="24"/>
          <w:vertAlign w:val="superscript"/>
        </w:rPr>
        <w:fldChar w:fldCharType="separate"/>
      </w:r>
      <w:r w:rsidRPr="00C97183">
        <w:rPr>
          <w:rFonts w:ascii="Times New Roman" w:eastAsia="Times New Roman" w:hAnsi="Times New Roman" w:cs="Times New Roman"/>
          <w:color w:val="0000FF"/>
          <w:sz w:val="24"/>
          <w:szCs w:val="24"/>
          <w:u w:val="single"/>
          <w:vertAlign w:val="superscript"/>
        </w:rPr>
        <w:t>[3]</w:t>
      </w:r>
      <w:r w:rsidRPr="00C97183">
        <w:rPr>
          <w:rFonts w:ascii="Times New Roman" w:eastAsia="Times New Roman" w:hAnsi="Times New Roman" w:cs="Times New Roman"/>
          <w:sz w:val="24"/>
          <w:szCs w:val="24"/>
          <w:vertAlign w:val="superscript"/>
        </w:rPr>
        <w:fldChar w:fldCharType="end"/>
      </w:r>
      <w:bookmarkEnd w:id="4"/>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4"/>
          <w:szCs w:val="24"/>
        </w:rPr>
      </w:pPr>
      <w:r w:rsidRPr="00C97183">
        <w:rPr>
          <w:rFonts w:ascii="Times New Roman" w:eastAsia="Times New Roman" w:hAnsi="Times New Roman" w:cs="Times New Roman"/>
          <w:sz w:val="24"/>
          <w:szCs w:val="24"/>
        </w:rPr>
        <w:t>On appeal, the Court of Appeals for the Fourth Circuit reversed. 574 F. 2d 1158 (1978). It did not dispute the District Court's findings of fact, but held that the court had misconstrued § 504. In light of administrative regulations that had been promulgated while the appeal was pending, see 42 Fed. Reg. 22676 (1977),</w:t>
      </w:r>
      <w:bookmarkStart w:id="5" w:name="r[5]"/>
      <w:r w:rsidRPr="00C97183">
        <w:rPr>
          <w:rFonts w:ascii="Times New Roman" w:eastAsia="Times New Roman" w:hAnsi="Times New Roman" w:cs="Times New Roman"/>
          <w:sz w:val="24"/>
          <w:szCs w:val="24"/>
          <w:vertAlign w:val="superscript"/>
        </w:rPr>
        <w:fldChar w:fldCharType="begin"/>
      </w:r>
      <w:r w:rsidRPr="00C97183">
        <w:rPr>
          <w:rFonts w:ascii="Times New Roman" w:eastAsia="Times New Roman" w:hAnsi="Times New Roman" w:cs="Times New Roman"/>
          <w:sz w:val="24"/>
          <w:szCs w:val="24"/>
          <w:vertAlign w:val="superscript"/>
        </w:rPr>
        <w:instrText xml:space="preserve"> HYPERLINK "http://scholar.google.com/scholar_case?case=15117215513508737370&amp;hl=en&amp;as_sdt=6&amp;as_vis=1&amp;oi=scholarr" \l "[5]" </w:instrText>
      </w:r>
      <w:r w:rsidRPr="00C97183">
        <w:rPr>
          <w:rFonts w:ascii="Times New Roman" w:eastAsia="Times New Roman" w:hAnsi="Times New Roman" w:cs="Times New Roman"/>
          <w:sz w:val="24"/>
          <w:szCs w:val="24"/>
          <w:vertAlign w:val="superscript"/>
        </w:rPr>
        <w:fldChar w:fldCharType="separate"/>
      </w:r>
      <w:r w:rsidRPr="00C97183">
        <w:rPr>
          <w:rFonts w:ascii="Times New Roman" w:eastAsia="Times New Roman" w:hAnsi="Times New Roman" w:cs="Times New Roman"/>
          <w:color w:val="0000FF"/>
          <w:sz w:val="24"/>
          <w:szCs w:val="24"/>
          <w:u w:val="single"/>
          <w:vertAlign w:val="superscript"/>
        </w:rPr>
        <w:t>[4]</w:t>
      </w:r>
      <w:r w:rsidRPr="00C97183">
        <w:rPr>
          <w:rFonts w:ascii="Times New Roman" w:eastAsia="Times New Roman" w:hAnsi="Times New Roman" w:cs="Times New Roman"/>
          <w:sz w:val="24"/>
          <w:szCs w:val="24"/>
          <w:vertAlign w:val="superscript"/>
        </w:rPr>
        <w:fldChar w:fldCharType="end"/>
      </w:r>
      <w:bookmarkEnd w:id="5"/>
      <w:r w:rsidRPr="00C97183">
        <w:rPr>
          <w:rFonts w:ascii="Times New Roman" w:eastAsia="Times New Roman" w:hAnsi="Times New Roman" w:cs="Times New Roman"/>
          <w:sz w:val="24"/>
          <w:szCs w:val="24"/>
        </w:rPr>
        <w:t xml:space="preserve"> the appellate court believed that § 504 required Southeastern to "reconsider plaintiff's application for admission to the nursing program without regard to her hearing ability." 574 F. 2d, at 1160. It concluded that the District Court had erred in taking respondent's handicap into account in determining whether she was "otherwise qualified" for the program, rather than confining its inquiry to her "academic and technical qualifications." </w:t>
      </w:r>
      <w:r w:rsidRPr="00C97183">
        <w:rPr>
          <w:rFonts w:ascii="Times New Roman" w:eastAsia="Times New Roman" w:hAnsi="Times New Roman" w:cs="Times New Roman"/>
          <w:i/>
          <w:iCs/>
          <w:sz w:val="24"/>
          <w:szCs w:val="24"/>
        </w:rPr>
        <w:t>Id.,</w:t>
      </w:r>
      <w:r w:rsidRPr="00C97183">
        <w:rPr>
          <w:rFonts w:ascii="Times New Roman" w:eastAsia="Times New Roman" w:hAnsi="Times New Roman" w:cs="Times New Roman"/>
          <w:sz w:val="24"/>
          <w:szCs w:val="24"/>
        </w:rPr>
        <w:t xml:space="preserve"> at 1161. The Court of Appeals also suggested that § 504 required "affirmative conduct" on the part of Southeastern to modify its program to accommodate the disabilities of applicants, "even when such modifications become expensive." 574 F. 2d, at 1162.</w:t>
      </w:r>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4"/>
          <w:szCs w:val="24"/>
        </w:rPr>
      </w:pPr>
      <w:r w:rsidRPr="00C97183">
        <w:rPr>
          <w:rFonts w:ascii="Times New Roman" w:eastAsia="Times New Roman" w:hAnsi="Times New Roman" w:cs="Times New Roman"/>
          <w:sz w:val="24"/>
          <w:szCs w:val="24"/>
        </w:rPr>
        <w:t>Because of the importance of this issue to the many institutions covered by § 504, we granted certiorari. 439 U. S. 1065 (1979). We now reverse.</w:t>
      </w:r>
      <w:bookmarkStart w:id="6" w:name="r[6]"/>
      <w:r w:rsidRPr="00C97183">
        <w:rPr>
          <w:rFonts w:ascii="Times New Roman" w:eastAsia="Times New Roman" w:hAnsi="Times New Roman" w:cs="Times New Roman"/>
          <w:sz w:val="24"/>
          <w:szCs w:val="24"/>
          <w:vertAlign w:val="superscript"/>
        </w:rPr>
        <w:fldChar w:fldCharType="begin"/>
      </w:r>
      <w:r w:rsidRPr="00C97183">
        <w:rPr>
          <w:rFonts w:ascii="Times New Roman" w:eastAsia="Times New Roman" w:hAnsi="Times New Roman" w:cs="Times New Roman"/>
          <w:sz w:val="24"/>
          <w:szCs w:val="24"/>
          <w:vertAlign w:val="superscript"/>
        </w:rPr>
        <w:instrText xml:space="preserve"> HYPERLINK "http://scholar.google.com/scholar_case?case=15117215513508737370&amp;hl=en&amp;as_sdt=6&amp;as_vis=1&amp;oi=scholarr" \l "[6]" </w:instrText>
      </w:r>
      <w:r w:rsidRPr="00C97183">
        <w:rPr>
          <w:rFonts w:ascii="Times New Roman" w:eastAsia="Times New Roman" w:hAnsi="Times New Roman" w:cs="Times New Roman"/>
          <w:sz w:val="24"/>
          <w:szCs w:val="24"/>
          <w:vertAlign w:val="superscript"/>
        </w:rPr>
        <w:fldChar w:fldCharType="separate"/>
      </w:r>
      <w:r w:rsidRPr="00C97183">
        <w:rPr>
          <w:rFonts w:ascii="Times New Roman" w:eastAsia="Times New Roman" w:hAnsi="Times New Roman" w:cs="Times New Roman"/>
          <w:color w:val="0000FF"/>
          <w:sz w:val="24"/>
          <w:szCs w:val="24"/>
          <w:u w:val="single"/>
          <w:vertAlign w:val="superscript"/>
        </w:rPr>
        <w:t>[5]</w:t>
      </w:r>
      <w:r w:rsidRPr="00C97183">
        <w:rPr>
          <w:rFonts w:ascii="Times New Roman" w:eastAsia="Times New Roman" w:hAnsi="Times New Roman" w:cs="Times New Roman"/>
          <w:sz w:val="24"/>
          <w:szCs w:val="24"/>
          <w:vertAlign w:val="superscript"/>
        </w:rPr>
        <w:fldChar w:fldCharType="end"/>
      </w:r>
      <w:bookmarkEnd w:id="6"/>
    </w:p>
    <w:p w:rsidR="00C97183" w:rsidRPr="00C97183" w:rsidRDefault="00C97183" w:rsidP="00C97183">
      <w:pPr>
        <w:spacing w:before="100" w:beforeAutospacing="1" w:after="100" w:afterAutospacing="1" w:line="240" w:lineRule="auto"/>
        <w:outlineLvl w:val="1"/>
        <w:rPr>
          <w:rFonts w:ascii="Times New Roman" w:eastAsia="Times New Roman" w:hAnsi="Times New Roman" w:cs="Times New Roman"/>
          <w:b/>
          <w:bCs/>
          <w:sz w:val="36"/>
          <w:szCs w:val="36"/>
        </w:rPr>
      </w:pPr>
      <w:r w:rsidRPr="00C97183">
        <w:rPr>
          <w:rFonts w:ascii="Times New Roman" w:eastAsia="Times New Roman" w:hAnsi="Times New Roman" w:cs="Times New Roman"/>
          <w:b/>
          <w:bCs/>
          <w:sz w:val="36"/>
          <w:szCs w:val="36"/>
        </w:rPr>
        <w:t>405*405 II</w:t>
      </w:r>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4"/>
          <w:szCs w:val="24"/>
        </w:rPr>
      </w:pPr>
      <w:r w:rsidRPr="00C97183">
        <w:rPr>
          <w:rFonts w:ascii="Times New Roman" w:eastAsia="Times New Roman" w:hAnsi="Times New Roman" w:cs="Times New Roman"/>
          <w:sz w:val="24"/>
          <w:szCs w:val="24"/>
        </w:rPr>
        <w:t xml:space="preserve">As previously noted, this is the first case in which this Court has been called upon to interpret § 504. It is elementary that "[t]he starting point in every case involving construction of a statute is the language itself." </w:t>
      </w:r>
      <w:hyperlink r:id="rId8" w:history="1">
        <w:r w:rsidRPr="00C97183">
          <w:rPr>
            <w:rFonts w:ascii="Times New Roman" w:eastAsia="Times New Roman" w:hAnsi="Times New Roman" w:cs="Times New Roman"/>
            <w:i/>
            <w:iCs/>
            <w:color w:val="0000FF"/>
            <w:sz w:val="24"/>
            <w:szCs w:val="24"/>
            <w:u w:val="single"/>
          </w:rPr>
          <w:t>Blue Chip Stamps</w:t>
        </w:r>
        <w:r w:rsidRPr="00C97183">
          <w:rPr>
            <w:rFonts w:ascii="Times New Roman" w:eastAsia="Times New Roman" w:hAnsi="Times New Roman" w:cs="Times New Roman"/>
            <w:color w:val="0000FF"/>
            <w:sz w:val="24"/>
            <w:szCs w:val="24"/>
            <w:u w:val="single"/>
          </w:rPr>
          <w:t xml:space="preserve"> v. </w:t>
        </w:r>
        <w:r w:rsidRPr="00C97183">
          <w:rPr>
            <w:rFonts w:ascii="Times New Roman" w:eastAsia="Times New Roman" w:hAnsi="Times New Roman" w:cs="Times New Roman"/>
            <w:i/>
            <w:iCs/>
            <w:color w:val="0000FF"/>
            <w:sz w:val="24"/>
            <w:szCs w:val="24"/>
            <w:u w:val="single"/>
          </w:rPr>
          <w:t>Manor Drug Stores,</w:t>
        </w:r>
        <w:r w:rsidRPr="00C97183">
          <w:rPr>
            <w:rFonts w:ascii="Times New Roman" w:eastAsia="Times New Roman" w:hAnsi="Times New Roman" w:cs="Times New Roman"/>
            <w:color w:val="0000FF"/>
            <w:sz w:val="24"/>
            <w:szCs w:val="24"/>
            <w:u w:val="single"/>
          </w:rPr>
          <w:t xml:space="preserve"> 421 U. S. 723, 756 (1975) (POWELL, J., concurring)</w:t>
        </w:r>
      </w:hyperlink>
      <w:r w:rsidRPr="00C97183">
        <w:rPr>
          <w:rFonts w:ascii="Times New Roman" w:eastAsia="Times New Roman" w:hAnsi="Times New Roman" w:cs="Times New Roman"/>
          <w:sz w:val="24"/>
          <w:szCs w:val="24"/>
        </w:rPr>
        <w:t xml:space="preserve">; see </w:t>
      </w:r>
      <w:hyperlink r:id="rId9" w:history="1">
        <w:r w:rsidRPr="00C97183">
          <w:rPr>
            <w:rFonts w:ascii="Times New Roman" w:eastAsia="Times New Roman" w:hAnsi="Times New Roman" w:cs="Times New Roman"/>
            <w:i/>
            <w:iCs/>
            <w:color w:val="0000FF"/>
            <w:sz w:val="24"/>
            <w:szCs w:val="24"/>
            <w:u w:val="single"/>
          </w:rPr>
          <w:t>Greyhound Corp.</w:t>
        </w:r>
        <w:r w:rsidRPr="00C97183">
          <w:rPr>
            <w:rFonts w:ascii="Times New Roman" w:eastAsia="Times New Roman" w:hAnsi="Times New Roman" w:cs="Times New Roman"/>
            <w:color w:val="0000FF"/>
            <w:sz w:val="24"/>
            <w:szCs w:val="24"/>
            <w:u w:val="single"/>
          </w:rPr>
          <w:t xml:space="preserve"> v. </w:t>
        </w:r>
        <w:r w:rsidRPr="00C97183">
          <w:rPr>
            <w:rFonts w:ascii="Times New Roman" w:eastAsia="Times New Roman" w:hAnsi="Times New Roman" w:cs="Times New Roman"/>
            <w:i/>
            <w:iCs/>
            <w:color w:val="0000FF"/>
            <w:sz w:val="24"/>
            <w:szCs w:val="24"/>
            <w:u w:val="single"/>
          </w:rPr>
          <w:t>Mt. Hood Stages, Inc.,</w:t>
        </w:r>
        <w:r w:rsidRPr="00C97183">
          <w:rPr>
            <w:rFonts w:ascii="Times New Roman" w:eastAsia="Times New Roman" w:hAnsi="Times New Roman" w:cs="Times New Roman"/>
            <w:color w:val="0000FF"/>
            <w:sz w:val="24"/>
            <w:szCs w:val="24"/>
            <w:u w:val="single"/>
          </w:rPr>
          <w:t xml:space="preserve"> 437 U. S. 322, 330 (1978)</w:t>
        </w:r>
      </w:hyperlink>
      <w:r w:rsidRPr="00C97183">
        <w:rPr>
          <w:rFonts w:ascii="Times New Roman" w:eastAsia="Times New Roman" w:hAnsi="Times New Roman" w:cs="Times New Roman"/>
          <w:sz w:val="24"/>
          <w:szCs w:val="24"/>
        </w:rPr>
        <w:t xml:space="preserve">; </w:t>
      </w:r>
      <w:hyperlink r:id="rId10" w:history="1">
        <w:r w:rsidRPr="00C97183">
          <w:rPr>
            <w:rFonts w:ascii="Times New Roman" w:eastAsia="Times New Roman" w:hAnsi="Times New Roman" w:cs="Times New Roman"/>
            <w:i/>
            <w:iCs/>
            <w:color w:val="0000FF"/>
            <w:sz w:val="24"/>
            <w:szCs w:val="24"/>
            <w:u w:val="single"/>
          </w:rPr>
          <w:t>Santa Fe Industries, Inc.</w:t>
        </w:r>
        <w:r w:rsidRPr="00C97183">
          <w:rPr>
            <w:rFonts w:ascii="Times New Roman" w:eastAsia="Times New Roman" w:hAnsi="Times New Roman" w:cs="Times New Roman"/>
            <w:color w:val="0000FF"/>
            <w:sz w:val="24"/>
            <w:szCs w:val="24"/>
            <w:u w:val="single"/>
          </w:rPr>
          <w:t xml:space="preserve"> v. </w:t>
        </w:r>
        <w:r w:rsidRPr="00C97183">
          <w:rPr>
            <w:rFonts w:ascii="Times New Roman" w:eastAsia="Times New Roman" w:hAnsi="Times New Roman" w:cs="Times New Roman"/>
            <w:i/>
            <w:iCs/>
            <w:color w:val="0000FF"/>
            <w:sz w:val="24"/>
            <w:szCs w:val="24"/>
            <w:u w:val="single"/>
          </w:rPr>
          <w:t>Green,</w:t>
        </w:r>
        <w:r w:rsidRPr="00C97183">
          <w:rPr>
            <w:rFonts w:ascii="Times New Roman" w:eastAsia="Times New Roman" w:hAnsi="Times New Roman" w:cs="Times New Roman"/>
            <w:color w:val="0000FF"/>
            <w:sz w:val="24"/>
            <w:szCs w:val="24"/>
            <w:u w:val="single"/>
          </w:rPr>
          <w:t xml:space="preserve"> 430 U. S. 462, 472 (1977)</w:t>
        </w:r>
      </w:hyperlink>
      <w:r w:rsidRPr="00C97183">
        <w:rPr>
          <w:rFonts w:ascii="Times New Roman" w:eastAsia="Times New Roman" w:hAnsi="Times New Roman" w:cs="Times New Roman"/>
          <w:sz w:val="24"/>
          <w:szCs w:val="24"/>
        </w:rPr>
        <w:t xml:space="preserve">. Section 504 by its terms does not compel educational institutions to disregard the disabilities of handicapped individuals or to make substantial modifications in their programs to allow disabled persons to participate. </w:t>
      </w:r>
      <w:r w:rsidRPr="00C97183">
        <w:rPr>
          <w:rFonts w:ascii="Times New Roman" w:eastAsia="Times New Roman" w:hAnsi="Times New Roman" w:cs="Times New Roman"/>
          <w:sz w:val="24"/>
          <w:szCs w:val="24"/>
        </w:rPr>
        <w:lastRenderedPageBreak/>
        <w:t>Instead, it requires only that an "otherwise qualified handicapped individual" not be excluded from participation in a federally funded program "solely by reason of his handicap," indicating only that mere possession of a handicap is not a permissible ground for assuming an inability to function in a particular context.</w:t>
      </w:r>
      <w:bookmarkStart w:id="7" w:name="r[7]"/>
      <w:r w:rsidRPr="00C97183">
        <w:rPr>
          <w:rFonts w:ascii="Times New Roman" w:eastAsia="Times New Roman" w:hAnsi="Times New Roman" w:cs="Times New Roman"/>
          <w:sz w:val="24"/>
          <w:szCs w:val="24"/>
          <w:vertAlign w:val="superscript"/>
        </w:rPr>
        <w:fldChar w:fldCharType="begin"/>
      </w:r>
      <w:r w:rsidRPr="00C97183">
        <w:rPr>
          <w:rFonts w:ascii="Times New Roman" w:eastAsia="Times New Roman" w:hAnsi="Times New Roman" w:cs="Times New Roman"/>
          <w:sz w:val="24"/>
          <w:szCs w:val="24"/>
          <w:vertAlign w:val="superscript"/>
        </w:rPr>
        <w:instrText xml:space="preserve"> HYPERLINK "http://scholar.google.com/scholar_case?case=15117215513508737370&amp;hl=en&amp;as_sdt=6&amp;as_vis=1&amp;oi=scholarr" \l "[7]" </w:instrText>
      </w:r>
      <w:r w:rsidRPr="00C97183">
        <w:rPr>
          <w:rFonts w:ascii="Times New Roman" w:eastAsia="Times New Roman" w:hAnsi="Times New Roman" w:cs="Times New Roman"/>
          <w:sz w:val="24"/>
          <w:szCs w:val="24"/>
          <w:vertAlign w:val="superscript"/>
        </w:rPr>
        <w:fldChar w:fldCharType="separate"/>
      </w:r>
      <w:r w:rsidRPr="00C97183">
        <w:rPr>
          <w:rFonts w:ascii="Times New Roman" w:eastAsia="Times New Roman" w:hAnsi="Times New Roman" w:cs="Times New Roman"/>
          <w:color w:val="0000FF"/>
          <w:sz w:val="24"/>
          <w:szCs w:val="24"/>
          <w:u w:val="single"/>
          <w:vertAlign w:val="superscript"/>
        </w:rPr>
        <w:t>[6]</w:t>
      </w:r>
      <w:r w:rsidRPr="00C97183">
        <w:rPr>
          <w:rFonts w:ascii="Times New Roman" w:eastAsia="Times New Roman" w:hAnsi="Times New Roman" w:cs="Times New Roman"/>
          <w:sz w:val="24"/>
          <w:szCs w:val="24"/>
          <w:vertAlign w:val="superscript"/>
        </w:rPr>
        <w:fldChar w:fldCharType="end"/>
      </w:r>
      <w:bookmarkEnd w:id="7"/>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4"/>
          <w:szCs w:val="24"/>
        </w:rPr>
      </w:pPr>
      <w:r w:rsidRPr="00C97183">
        <w:rPr>
          <w:rFonts w:ascii="Times New Roman" w:eastAsia="Times New Roman" w:hAnsi="Times New Roman" w:cs="Times New Roman"/>
          <w:sz w:val="24"/>
          <w:szCs w:val="24"/>
        </w:rPr>
        <w:t>406*406 The court below, however, believed that the "otherwise qualified" persons protected by § 504 include those who would be able to meet the requirements of a particular program in every respect except as to limitations imposed by their handicap. See 574 F. 2d, at 1160. Taken literally, this holding would prevent an institution from taking into account any limitation resulting from the handicap, however disabling. It assumes, in effect, that a person need not meet legitimate physical requirements in order to be "otherwise qualified." We think the understanding of the District Court is closer to the plain meaning of the statutory language. An otherwise qualified person is one who is able to meet all of a program's requirements in spite of his handicap.</w:t>
      </w:r>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4"/>
          <w:szCs w:val="24"/>
        </w:rPr>
      </w:pPr>
      <w:r w:rsidRPr="00C97183">
        <w:rPr>
          <w:rFonts w:ascii="Times New Roman" w:eastAsia="Times New Roman" w:hAnsi="Times New Roman" w:cs="Times New Roman"/>
          <w:sz w:val="24"/>
          <w:szCs w:val="24"/>
        </w:rPr>
        <w:t>The regulations promulgated by the Department of HEW to interpret § 504 reinforce, rather than contradict, this conclusion. According to these regulations, a "[q]ualified handicapped person" is, "[w]ith respect to postsecondary and vocational education services, a handicapped person who meets the academic and technical standards requisite to admission or participation in the [school's] education program or activity. . . ." 45 CFR § 84.3 (k) (3) (1978). An explanatory note states:</w:t>
      </w:r>
    </w:p>
    <w:p w:rsidR="00C97183" w:rsidRPr="00C97183" w:rsidRDefault="00C97183" w:rsidP="00C97183">
      <w:pPr>
        <w:spacing w:after="100" w:line="240" w:lineRule="auto"/>
        <w:rPr>
          <w:rFonts w:ascii="Times New Roman" w:eastAsia="Times New Roman" w:hAnsi="Times New Roman" w:cs="Times New Roman"/>
          <w:sz w:val="24"/>
          <w:szCs w:val="24"/>
        </w:rPr>
      </w:pPr>
      <w:r w:rsidRPr="00C97183">
        <w:rPr>
          <w:rFonts w:ascii="Times New Roman" w:eastAsia="Times New Roman" w:hAnsi="Times New Roman" w:cs="Times New Roman"/>
          <w:sz w:val="24"/>
          <w:szCs w:val="24"/>
        </w:rPr>
        <w:t xml:space="preserve">"The term `technical standards' refers to </w:t>
      </w:r>
      <w:r w:rsidRPr="00C97183">
        <w:rPr>
          <w:rFonts w:ascii="Times New Roman" w:eastAsia="Times New Roman" w:hAnsi="Times New Roman" w:cs="Times New Roman"/>
          <w:i/>
          <w:iCs/>
          <w:sz w:val="24"/>
          <w:szCs w:val="24"/>
        </w:rPr>
        <w:t>all</w:t>
      </w:r>
      <w:r w:rsidRPr="00C97183">
        <w:rPr>
          <w:rFonts w:ascii="Times New Roman" w:eastAsia="Times New Roman" w:hAnsi="Times New Roman" w:cs="Times New Roman"/>
          <w:sz w:val="24"/>
          <w:szCs w:val="24"/>
        </w:rPr>
        <w:t xml:space="preserve"> nonacademic admission criteria that are essential to participation in the program in question." 45 CFR pt. 84, App. A, p. 405 (1978) (emphasis supplied).</w:t>
      </w:r>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4"/>
          <w:szCs w:val="24"/>
        </w:rPr>
      </w:pPr>
      <w:r w:rsidRPr="00C97183">
        <w:rPr>
          <w:rFonts w:ascii="Times New Roman" w:eastAsia="Times New Roman" w:hAnsi="Times New Roman" w:cs="Times New Roman"/>
          <w:sz w:val="24"/>
          <w:szCs w:val="24"/>
        </w:rPr>
        <w:t>407*407 A further note emphasizes that legitimate physical qualifications may be essential to participation in particular programs.</w:t>
      </w:r>
      <w:bookmarkStart w:id="8" w:name="r[8]"/>
      <w:r w:rsidRPr="00C97183">
        <w:rPr>
          <w:rFonts w:ascii="Times New Roman" w:eastAsia="Times New Roman" w:hAnsi="Times New Roman" w:cs="Times New Roman"/>
          <w:sz w:val="24"/>
          <w:szCs w:val="24"/>
          <w:vertAlign w:val="superscript"/>
        </w:rPr>
        <w:fldChar w:fldCharType="begin"/>
      </w:r>
      <w:r w:rsidRPr="00C97183">
        <w:rPr>
          <w:rFonts w:ascii="Times New Roman" w:eastAsia="Times New Roman" w:hAnsi="Times New Roman" w:cs="Times New Roman"/>
          <w:sz w:val="24"/>
          <w:szCs w:val="24"/>
          <w:vertAlign w:val="superscript"/>
        </w:rPr>
        <w:instrText xml:space="preserve"> HYPERLINK "http://scholar.google.com/scholar_case?case=15117215513508737370&amp;hl=en&amp;as_sdt=6&amp;as_vis=1&amp;oi=scholarr" \l "[8]" </w:instrText>
      </w:r>
      <w:r w:rsidRPr="00C97183">
        <w:rPr>
          <w:rFonts w:ascii="Times New Roman" w:eastAsia="Times New Roman" w:hAnsi="Times New Roman" w:cs="Times New Roman"/>
          <w:sz w:val="24"/>
          <w:szCs w:val="24"/>
          <w:vertAlign w:val="superscript"/>
        </w:rPr>
        <w:fldChar w:fldCharType="separate"/>
      </w:r>
      <w:r w:rsidRPr="00C97183">
        <w:rPr>
          <w:rFonts w:ascii="Times New Roman" w:eastAsia="Times New Roman" w:hAnsi="Times New Roman" w:cs="Times New Roman"/>
          <w:color w:val="0000FF"/>
          <w:sz w:val="24"/>
          <w:szCs w:val="24"/>
          <w:u w:val="single"/>
          <w:vertAlign w:val="superscript"/>
        </w:rPr>
        <w:t>[7]</w:t>
      </w:r>
      <w:r w:rsidRPr="00C97183">
        <w:rPr>
          <w:rFonts w:ascii="Times New Roman" w:eastAsia="Times New Roman" w:hAnsi="Times New Roman" w:cs="Times New Roman"/>
          <w:sz w:val="24"/>
          <w:szCs w:val="24"/>
          <w:vertAlign w:val="superscript"/>
        </w:rPr>
        <w:fldChar w:fldCharType="end"/>
      </w:r>
      <w:bookmarkEnd w:id="8"/>
      <w:r w:rsidRPr="00C97183">
        <w:rPr>
          <w:rFonts w:ascii="Times New Roman" w:eastAsia="Times New Roman" w:hAnsi="Times New Roman" w:cs="Times New Roman"/>
          <w:sz w:val="24"/>
          <w:szCs w:val="24"/>
        </w:rPr>
        <w:t xml:space="preserve"> We think it clear, therefore, that HEW interprets the "other" qualifications which a handicapped person may be required to meet as including necessary physical qualifications.</w:t>
      </w:r>
    </w:p>
    <w:p w:rsidR="00C97183" w:rsidRPr="00C97183" w:rsidRDefault="00C97183" w:rsidP="00C97183">
      <w:pPr>
        <w:spacing w:before="100" w:beforeAutospacing="1" w:after="100" w:afterAutospacing="1" w:line="240" w:lineRule="auto"/>
        <w:outlineLvl w:val="1"/>
        <w:rPr>
          <w:rFonts w:ascii="Times New Roman" w:eastAsia="Times New Roman" w:hAnsi="Times New Roman" w:cs="Times New Roman"/>
          <w:b/>
          <w:bCs/>
          <w:sz w:val="36"/>
          <w:szCs w:val="36"/>
        </w:rPr>
      </w:pPr>
      <w:r w:rsidRPr="00C97183">
        <w:rPr>
          <w:rFonts w:ascii="Times New Roman" w:eastAsia="Times New Roman" w:hAnsi="Times New Roman" w:cs="Times New Roman"/>
          <w:b/>
          <w:bCs/>
          <w:sz w:val="36"/>
          <w:szCs w:val="36"/>
        </w:rPr>
        <w:t>III</w:t>
      </w:r>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4"/>
          <w:szCs w:val="24"/>
        </w:rPr>
      </w:pPr>
      <w:r w:rsidRPr="00C97183">
        <w:rPr>
          <w:rFonts w:ascii="Times New Roman" w:eastAsia="Times New Roman" w:hAnsi="Times New Roman" w:cs="Times New Roman"/>
          <w:sz w:val="24"/>
          <w:szCs w:val="24"/>
        </w:rPr>
        <w:t>The remaining question is whether the physical qualifications Southeastern demanded of respondent might not be necessary for participation in its nursing program. It is not open to dispute that, as Southeastern's Associate Degree Nursing program currently is constituted, the ability to understand speech without reliance on lipreading is necessary for patient safety during the clinical phase of the program. As the District Court found, this ability also is indispensable for many of the functions that a registered nurse performs.</w:t>
      </w:r>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4"/>
          <w:szCs w:val="24"/>
        </w:rPr>
      </w:pPr>
      <w:r w:rsidRPr="00C97183">
        <w:rPr>
          <w:rFonts w:ascii="Times New Roman" w:eastAsia="Times New Roman" w:hAnsi="Times New Roman" w:cs="Times New Roman"/>
          <w:sz w:val="24"/>
          <w:szCs w:val="24"/>
        </w:rPr>
        <w:t xml:space="preserve">Respondent contends nevertheless that § 504, properly interpreted, compels Southeastern to undertake affirmative action that would dispense with the need for effective oral communication. First, it is suggested that respondent can be given individual supervision by faculty members whenever she attends patients directly. Moreover, certain required courses might be dispensed with altogether for respondent. It is not 408*408 necessary, she argues, that Southeastern train her to undertake all the tasks a registered nurse is licensed to perform. Rather, it is sufficient to </w:t>
      </w:r>
      <w:r w:rsidRPr="00C97183">
        <w:rPr>
          <w:rFonts w:ascii="Times New Roman" w:eastAsia="Times New Roman" w:hAnsi="Times New Roman" w:cs="Times New Roman"/>
          <w:sz w:val="24"/>
          <w:szCs w:val="24"/>
        </w:rPr>
        <w:lastRenderedPageBreak/>
        <w:t>make § 504 applicable if respondent might be able to perform satisfactorily some of the duties of a registered nurse or to hold some of the positions available to a registered nurse.</w:t>
      </w:r>
      <w:bookmarkStart w:id="9" w:name="r[9]"/>
      <w:r w:rsidRPr="00C97183">
        <w:rPr>
          <w:rFonts w:ascii="Times New Roman" w:eastAsia="Times New Roman" w:hAnsi="Times New Roman" w:cs="Times New Roman"/>
          <w:sz w:val="24"/>
          <w:szCs w:val="24"/>
          <w:vertAlign w:val="superscript"/>
        </w:rPr>
        <w:fldChar w:fldCharType="begin"/>
      </w:r>
      <w:r w:rsidRPr="00C97183">
        <w:rPr>
          <w:rFonts w:ascii="Times New Roman" w:eastAsia="Times New Roman" w:hAnsi="Times New Roman" w:cs="Times New Roman"/>
          <w:sz w:val="24"/>
          <w:szCs w:val="24"/>
          <w:vertAlign w:val="superscript"/>
        </w:rPr>
        <w:instrText xml:space="preserve"> HYPERLINK "http://scholar.google.com/scholar_case?case=15117215513508737370&amp;hl=en&amp;as_sdt=6&amp;as_vis=1&amp;oi=scholarr" \l "[9]" </w:instrText>
      </w:r>
      <w:r w:rsidRPr="00C97183">
        <w:rPr>
          <w:rFonts w:ascii="Times New Roman" w:eastAsia="Times New Roman" w:hAnsi="Times New Roman" w:cs="Times New Roman"/>
          <w:sz w:val="24"/>
          <w:szCs w:val="24"/>
          <w:vertAlign w:val="superscript"/>
        </w:rPr>
        <w:fldChar w:fldCharType="separate"/>
      </w:r>
      <w:r w:rsidRPr="00C97183">
        <w:rPr>
          <w:rFonts w:ascii="Times New Roman" w:eastAsia="Times New Roman" w:hAnsi="Times New Roman" w:cs="Times New Roman"/>
          <w:color w:val="0000FF"/>
          <w:sz w:val="24"/>
          <w:szCs w:val="24"/>
          <w:u w:val="single"/>
          <w:vertAlign w:val="superscript"/>
        </w:rPr>
        <w:t>[8]</w:t>
      </w:r>
      <w:r w:rsidRPr="00C97183">
        <w:rPr>
          <w:rFonts w:ascii="Times New Roman" w:eastAsia="Times New Roman" w:hAnsi="Times New Roman" w:cs="Times New Roman"/>
          <w:sz w:val="24"/>
          <w:szCs w:val="24"/>
          <w:vertAlign w:val="superscript"/>
        </w:rPr>
        <w:fldChar w:fldCharType="end"/>
      </w:r>
      <w:bookmarkEnd w:id="9"/>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4"/>
          <w:szCs w:val="24"/>
        </w:rPr>
      </w:pPr>
      <w:r w:rsidRPr="00C97183">
        <w:rPr>
          <w:rFonts w:ascii="Times New Roman" w:eastAsia="Times New Roman" w:hAnsi="Times New Roman" w:cs="Times New Roman"/>
          <w:sz w:val="24"/>
          <w:szCs w:val="24"/>
        </w:rPr>
        <w:t>Respondent finds support for this argument in portions of the HEW regulations discussed above. In particular, a provision applicable to postsecondary educational programs requires covered institutions to make "modifications" in their programs to accommodate handicapped persons, and to provide "auxiliary aids" such as sign-language interpreters.</w:t>
      </w:r>
      <w:bookmarkStart w:id="10" w:name="r[10]"/>
      <w:r w:rsidRPr="00C97183">
        <w:rPr>
          <w:rFonts w:ascii="Times New Roman" w:eastAsia="Times New Roman" w:hAnsi="Times New Roman" w:cs="Times New Roman"/>
          <w:sz w:val="24"/>
          <w:szCs w:val="24"/>
          <w:vertAlign w:val="superscript"/>
        </w:rPr>
        <w:fldChar w:fldCharType="begin"/>
      </w:r>
      <w:r w:rsidRPr="00C97183">
        <w:rPr>
          <w:rFonts w:ascii="Times New Roman" w:eastAsia="Times New Roman" w:hAnsi="Times New Roman" w:cs="Times New Roman"/>
          <w:sz w:val="24"/>
          <w:szCs w:val="24"/>
          <w:vertAlign w:val="superscript"/>
        </w:rPr>
        <w:instrText xml:space="preserve"> HYPERLINK "http://scholar.google.com/scholar_case?case=15117215513508737370&amp;hl=en&amp;as_sdt=6&amp;as_vis=1&amp;oi=scholarr" \l "[10]" </w:instrText>
      </w:r>
      <w:r w:rsidRPr="00C97183">
        <w:rPr>
          <w:rFonts w:ascii="Times New Roman" w:eastAsia="Times New Roman" w:hAnsi="Times New Roman" w:cs="Times New Roman"/>
          <w:sz w:val="24"/>
          <w:szCs w:val="24"/>
          <w:vertAlign w:val="superscript"/>
        </w:rPr>
        <w:fldChar w:fldCharType="separate"/>
      </w:r>
      <w:r w:rsidRPr="00C97183">
        <w:rPr>
          <w:rFonts w:ascii="Times New Roman" w:eastAsia="Times New Roman" w:hAnsi="Times New Roman" w:cs="Times New Roman"/>
          <w:color w:val="0000FF"/>
          <w:sz w:val="24"/>
          <w:szCs w:val="24"/>
          <w:u w:val="single"/>
          <w:vertAlign w:val="superscript"/>
        </w:rPr>
        <w:t>[9]</w:t>
      </w:r>
      <w:r w:rsidRPr="00C97183">
        <w:rPr>
          <w:rFonts w:ascii="Times New Roman" w:eastAsia="Times New Roman" w:hAnsi="Times New Roman" w:cs="Times New Roman"/>
          <w:sz w:val="24"/>
          <w:szCs w:val="24"/>
          <w:vertAlign w:val="superscript"/>
        </w:rPr>
        <w:fldChar w:fldCharType="end"/>
      </w:r>
      <w:bookmarkEnd w:id="10"/>
      <w:r w:rsidRPr="00C97183">
        <w:rPr>
          <w:rFonts w:ascii="Times New Roman" w:eastAsia="Times New Roman" w:hAnsi="Times New Roman" w:cs="Times New Roman"/>
          <w:sz w:val="24"/>
          <w:szCs w:val="24"/>
        </w:rPr>
        <w:t xml:space="preserve"> Respondent 409*409 argues that this regulation imposes an obligation to ensure full participation in covered programs by handicapped individuals and, in particular, requires Southeastern to make the kind of adjustments that would be necessary to permit her safe participation in the nursing program.</w:t>
      </w:r>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4"/>
          <w:szCs w:val="24"/>
        </w:rPr>
      </w:pPr>
      <w:r w:rsidRPr="00C97183">
        <w:rPr>
          <w:rFonts w:ascii="Times New Roman" w:eastAsia="Times New Roman" w:hAnsi="Times New Roman" w:cs="Times New Roman"/>
          <w:sz w:val="24"/>
          <w:szCs w:val="24"/>
        </w:rPr>
        <w:t>We note first that on the present record it appears unlikely respondent could benefit from any affirmative action that the regulation reasonably could be interpreted as requiring. Section 84.44 (d) (2), for example, explicitly excludes "devices or services of a personal nature" from the kinds of auxiliary aids a school must provide a handicapped individual. Yet the only evidence in the record indicates that nothing less than close, individual attention by a nursing instructor would be sufficient to ensure patient safety if respondent took part in the clinical phase of the nursing program. See 424 F. Supp., at 1346. Furthermore, it also is reasonably clear that § 84.44 (a) does not encompass the kind of curricular changes that would be necessary to accommodate respondent in the nursing program. In light of respondent's inability to function in clinical courses without close supervision, Southeastern, with prudence, could 410*410 allow her to take only academic classes. Whatever benefits respondent might realize from such a course of study, she would not receive even a rough equivalent of the training a nursing program normally gives. Such a fundamental alteration in the nature of a program is far more than the "modification" the regulation requires.</w:t>
      </w:r>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4"/>
          <w:szCs w:val="24"/>
        </w:rPr>
      </w:pPr>
      <w:r w:rsidRPr="00C97183">
        <w:rPr>
          <w:rFonts w:ascii="Times New Roman" w:eastAsia="Times New Roman" w:hAnsi="Times New Roman" w:cs="Times New Roman"/>
          <w:sz w:val="24"/>
          <w:szCs w:val="24"/>
        </w:rPr>
        <w:t>Moreover, an interpretation of the regulations that required the extensive modifications necessary to include respondent in the nursing program would raise grave doubts about their validity. If these regulations were to require substantial adjustments in existing programs beyond those necessary to eliminate discrimination against otherwise qualified individuals, they would do more than clarify the meaning of § 504. Instead, they would constitute an unauthorized extension of the obligations imposed by that statute.</w:t>
      </w:r>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4"/>
          <w:szCs w:val="24"/>
        </w:rPr>
      </w:pPr>
      <w:r w:rsidRPr="00C97183">
        <w:rPr>
          <w:rFonts w:ascii="Times New Roman" w:eastAsia="Times New Roman" w:hAnsi="Times New Roman" w:cs="Times New Roman"/>
          <w:sz w:val="24"/>
          <w:szCs w:val="24"/>
        </w:rPr>
        <w:t>The language and structure of the Rehabilitation Act of 1973 reflect a recognition by Congress of the distinction between the evenhanded treatment of qualified handicapped persons and affirmative efforts to overcome the disabilities caused by handicaps. Section 501 (b), governing the employment of handicapped individuals by the Federal Government, requires each federal agency to submit "an affirmative action program plan for the hiring, placement, and advancement of handicapped individuals . . . ." These plans "shall include a description of the extent to which and methods whereby the special needs of handicapped employees are being met." Similarly, § 503 (a), governing hiring by federal contractors, requires employers to "take affirmative action to employ and advance in employment qualified handicapped individuals. . . ." The President is required to promulgate regulations to enforce this section.</w:t>
      </w:r>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4"/>
          <w:szCs w:val="24"/>
        </w:rPr>
      </w:pPr>
      <w:r w:rsidRPr="00C97183">
        <w:rPr>
          <w:rFonts w:ascii="Times New Roman" w:eastAsia="Times New Roman" w:hAnsi="Times New Roman" w:cs="Times New Roman"/>
          <w:sz w:val="24"/>
          <w:szCs w:val="24"/>
        </w:rPr>
        <w:t xml:space="preserve">Under § 501 (c) of the Act, by contrast, state agencies such as Southeastern are only "encourage[d] . . . to adopt and implement such policies and procedures." Section 504 does not </w:t>
      </w:r>
      <w:r w:rsidRPr="00C97183">
        <w:rPr>
          <w:rFonts w:ascii="Times New Roman" w:eastAsia="Times New Roman" w:hAnsi="Times New Roman" w:cs="Times New Roman"/>
          <w:sz w:val="24"/>
          <w:szCs w:val="24"/>
        </w:rPr>
        <w:lastRenderedPageBreak/>
        <w:t>refer at all to affirmative action, and except as it applies to 411*411 federal employers it does not provide for implementation by administrative action. A comparison of these provisions demonstrates that Congress understood accommodation of the needs of handicapped individuals may require affirmative action and knew how to provide for it in those instances where it wished to do so.</w:t>
      </w:r>
      <w:bookmarkStart w:id="11" w:name="r[11]"/>
      <w:r w:rsidRPr="00C97183">
        <w:rPr>
          <w:rFonts w:ascii="Times New Roman" w:eastAsia="Times New Roman" w:hAnsi="Times New Roman" w:cs="Times New Roman"/>
          <w:sz w:val="24"/>
          <w:szCs w:val="24"/>
          <w:vertAlign w:val="superscript"/>
        </w:rPr>
        <w:fldChar w:fldCharType="begin"/>
      </w:r>
      <w:r w:rsidRPr="00C97183">
        <w:rPr>
          <w:rFonts w:ascii="Times New Roman" w:eastAsia="Times New Roman" w:hAnsi="Times New Roman" w:cs="Times New Roman"/>
          <w:sz w:val="24"/>
          <w:szCs w:val="24"/>
          <w:vertAlign w:val="superscript"/>
        </w:rPr>
        <w:instrText xml:space="preserve"> HYPERLINK "http://scholar.google.com/scholar_case?case=15117215513508737370&amp;hl=en&amp;as_sdt=6&amp;as_vis=1&amp;oi=scholarr" \l "[11]" </w:instrText>
      </w:r>
      <w:r w:rsidRPr="00C97183">
        <w:rPr>
          <w:rFonts w:ascii="Times New Roman" w:eastAsia="Times New Roman" w:hAnsi="Times New Roman" w:cs="Times New Roman"/>
          <w:sz w:val="24"/>
          <w:szCs w:val="24"/>
          <w:vertAlign w:val="superscript"/>
        </w:rPr>
        <w:fldChar w:fldCharType="separate"/>
      </w:r>
      <w:r w:rsidRPr="00C97183">
        <w:rPr>
          <w:rFonts w:ascii="Times New Roman" w:eastAsia="Times New Roman" w:hAnsi="Times New Roman" w:cs="Times New Roman"/>
          <w:color w:val="0000FF"/>
          <w:sz w:val="24"/>
          <w:szCs w:val="24"/>
          <w:u w:val="single"/>
          <w:vertAlign w:val="superscript"/>
        </w:rPr>
        <w:t>[10]</w:t>
      </w:r>
      <w:r w:rsidRPr="00C97183">
        <w:rPr>
          <w:rFonts w:ascii="Times New Roman" w:eastAsia="Times New Roman" w:hAnsi="Times New Roman" w:cs="Times New Roman"/>
          <w:sz w:val="24"/>
          <w:szCs w:val="24"/>
          <w:vertAlign w:val="superscript"/>
        </w:rPr>
        <w:fldChar w:fldCharType="end"/>
      </w:r>
      <w:bookmarkEnd w:id="11"/>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4"/>
          <w:szCs w:val="24"/>
        </w:rPr>
      </w:pPr>
      <w:r w:rsidRPr="00C97183">
        <w:rPr>
          <w:rFonts w:ascii="Times New Roman" w:eastAsia="Times New Roman" w:hAnsi="Times New Roman" w:cs="Times New Roman"/>
          <w:sz w:val="24"/>
          <w:szCs w:val="24"/>
        </w:rPr>
        <w:t xml:space="preserve">Although an agency's interpretation of the statute under which it operates is entitled to some deference, "this deference is constrained by our obligation to honor the clear meaning of a statute, as revealed by its language, purpose, and history." </w:t>
      </w:r>
      <w:hyperlink r:id="rId11" w:history="1">
        <w:r w:rsidRPr="00C97183">
          <w:rPr>
            <w:rFonts w:ascii="Times New Roman" w:eastAsia="Times New Roman" w:hAnsi="Times New Roman" w:cs="Times New Roman"/>
            <w:i/>
            <w:iCs/>
            <w:color w:val="0000FF"/>
            <w:sz w:val="24"/>
            <w:szCs w:val="24"/>
            <w:u w:val="single"/>
          </w:rPr>
          <w:t>Teamsters</w:t>
        </w:r>
        <w:r w:rsidRPr="00C97183">
          <w:rPr>
            <w:rFonts w:ascii="Times New Roman" w:eastAsia="Times New Roman" w:hAnsi="Times New Roman" w:cs="Times New Roman"/>
            <w:color w:val="0000FF"/>
            <w:sz w:val="24"/>
            <w:szCs w:val="24"/>
            <w:u w:val="single"/>
          </w:rPr>
          <w:t xml:space="preserve"> v. </w:t>
        </w:r>
        <w:r w:rsidRPr="00C97183">
          <w:rPr>
            <w:rFonts w:ascii="Times New Roman" w:eastAsia="Times New Roman" w:hAnsi="Times New Roman" w:cs="Times New Roman"/>
            <w:i/>
            <w:iCs/>
            <w:color w:val="0000FF"/>
            <w:sz w:val="24"/>
            <w:szCs w:val="24"/>
            <w:u w:val="single"/>
          </w:rPr>
          <w:t>Daniel,</w:t>
        </w:r>
        <w:r w:rsidRPr="00C97183">
          <w:rPr>
            <w:rFonts w:ascii="Times New Roman" w:eastAsia="Times New Roman" w:hAnsi="Times New Roman" w:cs="Times New Roman"/>
            <w:color w:val="0000FF"/>
            <w:sz w:val="24"/>
            <w:szCs w:val="24"/>
            <w:u w:val="single"/>
          </w:rPr>
          <w:t xml:space="preserve"> 439 U. S. 551, 566 n. 20 (1979)</w:t>
        </w:r>
      </w:hyperlink>
      <w:r w:rsidRPr="00C97183">
        <w:rPr>
          <w:rFonts w:ascii="Times New Roman" w:eastAsia="Times New Roman" w:hAnsi="Times New Roman" w:cs="Times New Roman"/>
          <w:sz w:val="24"/>
          <w:szCs w:val="24"/>
        </w:rPr>
        <w:t>. Here, neither the language, purpose, nor history of § 504 reveals an intent to impose an affirmative-action obligation on all recipients of federal funds.</w:t>
      </w:r>
      <w:bookmarkStart w:id="12" w:name="r[12]"/>
      <w:r w:rsidRPr="00C97183">
        <w:rPr>
          <w:rFonts w:ascii="Times New Roman" w:eastAsia="Times New Roman" w:hAnsi="Times New Roman" w:cs="Times New Roman"/>
          <w:sz w:val="24"/>
          <w:szCs w:val="24"/>
          <w:vertAlign w:val="superscript"/>
        </w:rPr>
        <w:fldChar w:fldCharType="begin"/>
      </w:r>
      <w:r w:rsidRPr="00C97183">
        <w:rPr>
          <w:rFonts w:ascii="Times New Roman" w:eastAsia="Times New Roman" w:hAnsi="Times New Roman" w:cs="Times New Roman"/>
          <w:sz w:val="24"/>
          <w:szCs w:val="24"/>
          <w:vertAlign w:val="superscript"/>
        </w:rPr>
        <w:instrText xml:space="preserve"> HYPERLINK "http://scholar.google.com/scholar_case?case=15117215513508737370&amp;hl=en&amp;as_sdt=6&amp;as_vis=1&amp;oi=scholarr" \l "[12]" </w:instrText>
      </w:r>
      <w:r w:rsidRPr="00C97183">
        <w:rPr>
          <w:rFonts w:ascii="Times New Roman" w:eastAsia="Times New Roman" w:hAnsi="Times New Roman" w:cs="Times New Roman"/>
          <w:sz w:val="24"/>
          <w:szCs w:val="24"/>
          <w:vertAlign w:val="superscript"/>
        </w:rPr>
        <w:fldChar w:fldCharType="separate"/>
      </w:r>
      <w:r w:rsidRPr="00C97183">
        <w:rPr>
          <w:rFonts w:ascii="Times New Roman" w:eastAsia="Times New Roman" w:hAnsi="Times New Roman" w:cs="Times New Roman"/>
          <w:color w:val="0000FF"/>
          <w:sz w:val="24"/>
          <w:szCs w:val="24"/>
          <w:u w:val="single"/>
          <w:vertAlign w:val="superscript"/>
        </w:rPr>
        <w:t>[11]</w:t>
      </w:r>
      <w:r w:rsidRPr="00C97183">
        <w:rPr>
          <w:rFonts w:ascii="Times New Roman" w:eastAsia="Times New Roman" w:hAnsi="Times New Roman" w:cs="Times New Roman"/>
          <w:sz w:val="24"/>
          <w:szCs w:val="24"/>
          <w:vertAlign w:val="superscript"/>
        </w:rPr>
        <w:fldChar w:fldCharType="end"/>
      </w:r>
      <w:bookmarkEnd w:id="12"/>
      <w:r w:rsidRPr="00C97183">
        <w:rPr>
          <w:rFonts w:ascii="Times New Roman" w:eastAsia="Times New Roman" w:hAnsi="Times New Roman" w:cs="Times New Roman"/>
          <w:sz w:val="24"/>
          <w:szCs w:val="24"/>
        </w:rPr>
        <w:t xml:space="preserve"> Accordingly, we hold that even if 412*412 HEW has attempted to create such an obligation itself, it lacks the authority to do so.</w:t>
      </w:r>
    </w:p>
    <w:p w:rsidR="00C97183" w:rsidRPr="00C97183" w:rsidRDefault="00C97183" w:rsidP="00C97183">
      <w:pPr>
        <w:spacing w:before="100" w:beforeAutospacing="1" w:after="100" w:afterAutospacing="1" w:line="240" w:lineRule="auto"/>
        <w:outlineLvl w:val="1"/>
        <w:rPr>
          <w:rFonts w:ascii="Times New Roman" w:eastAsia="Times New Roman" w:hAnsi="Times New Roman" w:cs="Times New Roman"/>
          <w:b/>
          <w:bCs/>
          <w:sz w:val="36"/>
          <w:szCs w:val="36"/>
        </w:rPr>
      </w:pPr>
      <w:r w:rsidRPr="00C97183">
        <w:rPr>
          <w:rFonts w:ascii="Times New Roman" w:eastAsia="Times New Roman" w:hAnsi="Times New Roman" w:cs="Times New Roman"/>
          <w:b/>
          <w:bCs/>
          <w:sz w:val="36"/>
          <w:szCs w:val="36"/>
        </w:rPr>
        <w:t>IV</w:t>
      </w:r>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4"/>
          <w:szCs w:val="24"/>
        </w:rPr>
      </w:pPr>
      <w:r w:rsidRPr="00C97183">
        <w:rPr>
          <w:rFonts w:ascii="Times New Roman" w:eastAsia="Times New Roman" w:hAnsi="Times New Roman" w:cs="Times New Roman"/>
          <w:sz w:val="24"/>
          <w:szCs w:val="24"/>
        </w:rPr>
        <w:t>We do not suggest that the line between a lawful refusal to extend affirmative action and illegal discrimination against handicapped persons always will be clear. It is possible to envision situations where an insistence on continuing past requirements and practices might arbitrarily deprive genuinely qualified handicapped persons of the opportunity to participate in a covered program. Technological advances can be expected to enhance opportunities to rehabilitate the handicapped or otherwise to qualify them for some useful employment. Such advances also may enable attainment of these goals without imposing undue financial and administrative burdens upon a State. Thus, situations may arise where a 413*413 refusal to modify an existing program might become unreasonable and discriminatory. Identification of those instances where a refusal to accommodate the needs of a disabled person amounts to discrimination against the handicapped continues to be an important responsibility of HEW.</w:t>
      </w:r>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4"/>
          <w:szCs w:val="24"/>
        </w:rPr>
      </w:pPr>
      <w:r w:rsidRPr="00C97183">
        <w:rPr>
          <w:rFonts w:ascii="Times New Roman" w:eastAsia="Times New Roman" w:hAnsi="Times New Roman" w:cs="Times New Roman"/>
          <w:sz w:val="24"/>
          <w:szCs w:val="24"/>
        </w:rPr>
        <w:t xml:space="preserve">In this case, however, it is clear that Southeastern's unwillingness to make major adjustments in its nursing program does not constitute such discrimination. The uncontroverted testimony of several members of Southeastern's staff and faculty established that the purpose of its program was to train persons who could serve the nursing profession in all customary ways. See, </w:t>
      </w:r>
      <w:r w:rsidRPr="00C97183">
        <w:rPr>
          <w:rFonts w:ascii="Times New Roman" w:eastAsia="Times New Roman" w:hAnsi="Times New Roman" w:cs="Times New Roman"/>
          <w:i/>
          <w:iCs/>
          <w:sz w:val="24"/>
          <w:szCs w:val="24"/>
        </w:rPr>
        <w:t>e. g.,</w:t>
      </w:r>
      <w:r w:rsidRPr="00C97183">
        <w:rPr>
          <w:rFonts w:ascii="Times New Roman" w:eastAsia="Times New Roman" w:hAnsi="Times New Roman" w:cs="Times New Roman"/>
          <w:sz w:val="24"/>
          <w:szCs w:val="24"/>
        </w:rPr>
        <w:t xml:space="preserve"> App. 35a, 52a, 53a, 71a, 74a. This type of purpose, far from reflecting any animus against handicapped individuals, is shared by many if not most of the institutions that train persons to render professional service. It is undisputed that respondent could not participate in Southeastern's nursing program unless the standards were substantially lowered. Section 504 imposes no requirement upon an educational institution to lower or to effect substantial modifications of standards to accommodate a handicapped person.</w:t>
      </w:r>
      <w:bookmarkStart w:id="13" w:name="r[13]"/>
      <w:r w:rsidRPr="00C97183">
        <w:rPr>
          <w:rFonts w:ascii="Times New Roman" w:eastAsia="Times New Roman" w:hAnsi="Times New Roman" w:cs="Times New Roman"/>
          <w:sz w:val="24"/>
          <w:szCs w:val="24"/>
          <w:vertAlign w:val="superscript"/>
        </w:rPr>
        <w:fldChar w:fldCharType="begin"/>
      </w:r>
      <w:r w:rsidRPr="00C97183">
        <w:rPr>
          <w:rFonts w:ascii="Times New Roman" w:eastAsia="Times New Roman" w:hAnsi="Times New Roman" w:cs="Times New Roman"/>
          <w:sz w:val="24"/>
          <w:szCs w:val="24"/>
          <w:vertAlign w:val="superscript"/>
        </w:rPr>
        <w:instrText xml:space="preserve"> HYPERLINK "http://scholar.google.com/scholar_case?case=15117215513508737370&amp;hl=en&amp;as_sdt=6&amp;as_vis=1&amp;oi=scholarr" \l "[13]" </w:instrText>
      </w:r>
      <w:r w:rsidRPr="00C97183">
        <w:rPr>
          <w:rFonts w:ascii="Times New Roman" w:eastAsia="Times New Roman" w:hAnsi="Times New Roman" w:cs="Times New Roman"/>
          <w:sz w:val="24"/>
          <w:szCs w:val="24"/>
          <w:vertAlign w:val="superscript"/>
        </w:rPr>
        <w:fldChar w:fldCharType="separate"/>
      </w:r>
      <w:r w:rsidRPr="00C97183">
        <w:rPr>
          <w:rFonts w:ascii="Times New Roman" w:eastAsia="Times New Roman" w:hAnsi="Times New Roman" w:cs="Times New Roman"/>
          <w:color w:val="0000FF"/>
          <w:sz w:val="24"/>
          <w:szCs w:val="24"/>
          <w:u w:val="single"/>
          <w:vertAlign w:val="superscript"/>
        </w:rPr>
        <w:t>[12]</w:t>
      </w:r>
      <w:r w:rsidRPr="00C97183">
        <w:rPr>
          <w:rFonts w:ascii="Times New Roman" w:eastAsia="Times New Roman" w:hAnsi="Times New Roman" w:cs="Times New Roman"/>
          <w:sz w:val="24"/>
          <w:szCs w:val="24"/>
          <w:vertAlign w:val="superscript"/>
        </w:rPr>
        <w:fldChar w:fldCharType="end"/>
      </w:r>
      <w:bookmarkEnd w:id="13"/>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4"/>
          <w:szCs w:val="24"/>
        </w:rPr>
      </w:pPr>
      <w:r w:rsidRPr="00C97183">
        <w:rPr>
          <w:rFonts w:ascii="Times New Roman" w:eastAsia="Times New Roman" w:hAnsi="Times New Roman" w:cs="Times New Roman"/>
          <w:sz w:val="24"/>
          <w:szCs w:val="24"/>
        </w:rPr>
        <w:t xml:space="preserve">414*414 One may admire respondent's desire and determination to overcome her handicap, and there well may be various other types of service for which she can qualify. In this case, however, we hold that there was no violation of § 504 when Southeastern concluded that respondent did not qualify for admission to its program. Nothing in the language or history of § 504 reflects an intention to limit the freedom of an educational institution to require reasonable physical qualifications for admission to a clinical training program. Nor has there been any showing in </w:t>
      </w:r>
      <w:r w:rsidRPr="00C97183">
        <w:rPr>
          <w:rFonts w:ascii="Times New Roman" w:eastAsia="Times New Roman" w:hAnsi="Times New Roman" w:cs="Times New Roman"/>
          <w:sz w:val="24"/>
          <w:szCs w:val="24"/>
        </w:rPr>
        <w:lastRenderedPageBreak/>
        <w:t>this case that any action short of a substantial change in Southeastern's program would render unreasonable the qualifications it imposed.</w:t>
      </w:r>
    </w:p>
    <w:p w:rsidR="00C97183" w:rsidRPr="00C97183" w:rsidRDefault="00C97183" w:rsidP="00C97183">
      <w:pPr>
        <w:spacing w:before="100" w:beforeAutospacing="1" w:after="100" w:afterAutospacing="1" w:line="240" w:lineRule="auto"/>
        <w:outlineLvl w:val="1"/>
        <w:rPr>
          <w:rFonts w:ascii="Times New Roman" w:eastAsia="Times New Roman" w:hAnsi="Times New Roman" w:cs="Times New Roman"/>
          <w:b/>
          <w:bCs/>
          <w:sz w:val="36"/>
          <w:szCs w:val="36"/>
        </w:rPr>
      </w:pPr>
      <w:r w:rsidRPr="00C97183">
        <w:rPr>
          <w:rFonts w:ascii="Times New Roman" w:eastAsia="Times New Roman" w:hAnsi="Times New Roman" w:cs="Times New Roman"/>
          <w:b/>
          <w:bCs/>
          <w:sz w:val="36"/>
          <w:szCs w:val="36"/>
        </w:rPr>
        <w:t>V</w:t>
      </w:r>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4"/>
          <w:szCs w:val="24"/>
        </w:rPr>
      </w:pPr>
      <w:r w:rsidRPr="00C97183">
        <w:rPr>
          <w:rFonts w:ascii="Times New Roman" w:eastAsia="Times New Roman" w:hAnsi="Times New Roman" w:cs="Times New Roman"/>
          <w:sz w:val="24"/>
          <w:szCs w:val="24"/>
        </w:rPr>
        <w:t>Accordingly, we reverse the judgment of the court below, and remand for proceedings consistent with this opinion.</w:t>
      </w:r>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4"/>
          <w:szCs w:val="24"/>
        </w:rPr>
      </w:pPr>
      <w:r w:rsidRPr="00C97183">
        <w:rPr>
          <w:rFonts w:ascii="Times New Roman" w:eastAsia="Times New Roman" w:hAnsi="Times New Roman" w:cs="Times New Roman"/>
          <w:i/>
          <w:iCs/>
          <w:sz w:val="24"/>
          <w:szCs w:val="24"/>
        </w:rPr>
        <w:t>So ordered.</w:t>
      </w:r>
    </w:p>
    <w:bookmarkStart w:id="14" w:name="[1]"/>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0"/>
          <w:szCs w:val="20"/>
        </w:rPr>
      </w:pPr>
      <w:r w:rsidRPr="00C97183">
        <w:rPr>
          <w:rFonts w:ascii="Times New Roman" w:eastAsia="Times New Roman" w:hAnsi="Times New Roman" w:cs="Times New Roman"/>
          <w:sz w:val="20"/>
          <w:szCs w:val="20"/>
        </w:rPr>
        <w:fldChar w:fldCharType="begin"/>
      </w:r>
      <w:r w:rsidRPr="00C97183">
        <w:rPr>
          <w:rFonts w:ascii="Times New Roman" w:eastAsia="Times New Roman" w:hAnsi="Times New Roman" w:cs="Times New Roman"/>
          <w:sz w:val="20"/>
          <w:szCs w:val="20"/>
        </w:rPr>
        <w:instrText xml:space="preserve"> HYPERLINK "http://scholar.google.com/scholar_case?case=15117215513508737370&amp;hl=en&amp;as_sdt=6&amp;as_vis=1&amp;oi=scholarr" \l "r[1]" </w:instrText>
      </w:r>
      <w:r w:rsidRPr="00C97183">
        <w:rPr>
          <w:rFonts w:ascii="Times New Roman" w:eastAsia="Times New Roman" w:hAnsi="Times New Roman" w:cs="Times New Roman"/>
          <w:sz w:val="20"/>
          <w:szCs w:val="20"/>
        </w:rPr>
        <w:fldChar w:fldCharType="separate"/>
      </w:r>
      <w:r w:rsidRPr="00C97183">
        <w:rPr>
          <w:rFonts w:ascii="Times New Roman" w:eastAsia="Times New Roman" w:hAnsi="Times New Roman" w:cs="Times New Roman"/>
          <w:color w:val="0000FF"/>
          <w:sz w:val="20"/>
          <w:szCs w:val="20"/>
          <w:u w:val="single"/>
        </w:rPr>
        <w:t>[*]</w:t>
      </w:r>
      <w:r w:rsidRPr="00C97183">
        <w:rPr>
          <w:rFonts w:ascii="Times New Roman" w:eastAsia="Times New Roman" w:hAnsi="Times New Roman" w:cs="Times New Roman"/>
          <w:sz w:val="20"/>
          <w:szCs w:val="20"/>
        </w:rPr>
        <w:fldChar w:fldCharType="end"/>
      </w:r>
      <w:bookmarkEnd w:id="14"/>
      <w:r w:rsidRPr="00C97183">
        <w:rPr>
          <w:rFonts w:ascii="Times New Roman" w:eastAsia="Times New Roman" w:hAnsi="Times New Roman" w:cs="Times New Roman"/>
          <w:sz w:val="20"/>
          <w:szCs w:val="20"/>
        </w:rPr>
        <w:t xml:space="preserve"> A brief of </w:t>
      </w:r>
      <w:r w:rsidRPr="00C97183">
        <w:rPr>
          <w:rFonts w:ascii="Times New Roman" w:eastAsia="Times New Roman" w:hAnsi="Times New Roman" w:cs="Times New Roman"/>
          <w:i/>
          <w:iCs/>
          <w:sz w:val="20"/>
          <w:szCs w:val="20"/>
        </w:rPr>
        <w:t>amici curiae</w:t>
      </w:r>
      <w:r w:rsidRPr="00C97183">
        <w:rPr>
          <w:rFonts w:ascii="Times New Roman" w:eastAsia="Times New Roman" w:hAnsi="Times New Roman" w:cs="Times New Roman"/>
          <w:sz w:val="20"/>
          <w:szCs w:val="20"/>
        </w:rPr>
        <w:t xml:space="preserve"> urging reversal was filed by the Attorneys General for their respective States as follows: </w:t>
      </w:r>
      <w:r w:rsidRPr="00C97183">
        <w:rPr>
          <w:rFonts w:ascii="Times New Roman" w:eastAsia="Times New Roman" w:hAnsi="Times New Roman" w:cs="Times New Roman"/>
          <w:i/>
          <w:iCs/>
          <w:sz w:val="20"/>
          <w:szCs w:val="20"/>
        </w:rPr>
        <w:t>Francis X. Bellotti</w:t>
      </w:r>
      <w:r w:rsidRPr="00C97183">
        <w:rPr>
          <w:rFonts w:ascii="Times New Roman" w:eastAsia="Times New Roman" w:hAnsi="Times New Roman" w:cs="Times New Roman"/>
          <w:sz w:val="20"/>
          <w:szCs w:val="20"/>
        </w:rPr>
        <w:t xml:space="preserve"> for Massachusetts, </w:t>
      </w:r>
      <w:r w:rsidRPr="00C97183">
        <w:rPr>
          <w:rFonts w:ascii="Times New Roman" w:eastAsia="Times New Roman" w:hAnsi="Times New Roman" w:cs="Times New Roman"/>
          <w:i/>
          <w:iCs/>
          <w:sz w:val="20"/>
          <w:szCs w:val="20"/>
        </w:rPr>
        <w:t>J. Marshall Coleman</w:t>
      </w:r>
      <w:r w:rsidRPr="00C97183">
        <w:rPr>
          <w:rFonts w:ascii="Times New Roman" w:eastAsia="Times New Roman" w:hAnsi="Times New Roman" w:cs="Times New Roman"/>
          <w:sz w:val="20"/>
          <w:szCs w:val="20"/>
        </w:rPr>
        <w:t xml:space="preserve"> for Virginia, </w:t>
      </w:r>
      <w:r w:rsidRPr="00C97183">
        <w:rPr>
          <w:rFonts w:ascii="Times New Roman" w:eastAsia="Times New Roman" w:hAnsi="Times New Roman" w:cs="Times New Roman"/>
          <w:i/>
          <w:iCs/>
          <w:sz w:val="20"/>
          <w:szCs w:val="20"/>
        </w:rPr>
        <w:t>Robert K. Corbin</w:t>
      </w:r>
      <w:r w:rsidRPr="00C97183">
        <w:rPr>
          <w:rFonts w:ascii="Times New Roman" w:eastAsia="Times New Roman" w:hAnsi="Times New Roman" w:cs="Times New Roman"/>
          <w:sz w:val="20"/>
          <w:szCs w:val="20"/>
        </w:rPr>
        <w:t xml:space="preserve"> for Arizona, </w:t>
      </w:r>
      <w:r w:rsidRPr="00C97183">
        <w:rPr>
          <w:rFonts w:ascii="Times New Roman" w:eastAsia="Times New Roman" w:hAnsi="Times New Roman" w:cs="Times New Roman"/>
          <w:i/>
          <w:iCs/>
          <w:sz w:val="20"/>
          <w:szCs w:val="20"/>
        </w:rPr>
        <w:t>Carl R. Ajello</w:t>
      </w:r>
      <w:r w:rsidRPr="00C97183">
        <w:rPr>
          <w:rFonts w:ascii="Times New Roman" w:eastAsia="Times New Roman" w:hAnsi="Times New Roman" w:cs="Times New Roman"/>
          <w:sz w:val="20"/>
          <w:szCs w:val="20"/>
        </w:rPr>
        <w:t xml:space="preserve"> for Connecticut, </w:t>
      </w:r>
      <w:r w:rsidRPr="00C97183">
        <w:rPr>
          <w:rFonts w:ascii="Times New Roman" w:eastAsia="Times New Roman" w:hAnsi="Times New Roman" w:cs="Times New Roman"/>
          <w:i/>
          <w:iCs/>
          <w:sz w:val="20"/>
          <w:szCs w:val="20"/>
        </w:rPr>
        <w:t>Richard S. Gebelein</w:t>
      </w:r>
      <w:r w:rsidRPr="00C97183">
        <w:rPr>
          <w:rFonts w:ascii="Times New Roman" w:eastAsia="Times New Roman" w:hAnsi="Times New Roman" w:cs="Times New Roman"/>
          <w:sz w:val="20"/>
          <w:szCs w:val="20"/>
        </w:rPr>
        <w:t xml:space="preserve"> for Delaware, </w:t>
      </w:r>
      <w:r w:rsidRPr="00C97183">
        <w:rPr>
          <w:rFonts w:ascii="Times New Roman" w:eastAsia="Times New Roman" w:hAnsi="Times New Roman" w:cs="Times New Roman"/>
          <w:i/>
          <w:iCs/>
          <w:sz w:val="20"/>
          <w:szCs w:val="20"/>
        </w:rPr>
        <w:t>Jim Smith</w:t>
      </w:r>
      <w:r w:rsidRPr="00C97183">
        <w:rPr>
          <w:rFonts w:ascii="Times New Roman" w:eastAsia="Times New Roman" w:hAnsi="Times New Roman" w:cs="Times New Roman"/>
          <w:sz w:val="20"/>
          <w:szCs w:val="20"/>
        </w:rPr>
        <w:t xml:space="preserve"> for Florida, </w:t>
      </w:r>
      <w:r w:rsidRPr="00C97183">
        <w:rPr>
          <w:rFonts w:ascii="Times New Roman" w:eastAsia="Times New Roman" w:hAnsi="Times New Roman" w:cs="Times New Roman"/>
          <w:i/>
          <w:iCs/>
          <w:sz w:val="20"/>
          <w:szCs w:val="20"/>
        </w:rPr>
        <w:t>Arthur K. Bolton</w:t>
      </w:r>
      <w:r w:rsidRPr="00C97183">
        <w:rPr>
          <w:rFonts w:ascii="Times New Roman" w:eastAsia="Times New Roman" w:hAnsi="Times New Roman" w:cs="Times New Roman"/>
          <w:sz w:val="20"/>
          <w:szCs w:val="20"/>
        </w:rPr>
        <w:t xml:space="preserve"> for Georgia, </w:t>
      </w:r>
      <w:r w:rsidRPr="00C97183">
        <w:rPr>
          <w:rFonts w:ascii="Times New Roman" w:eastAsia="Times New Roman" w:hAnsi="Times New Roman" w:cs="Times New Roman"/>
          <w:i/>
          <w:iCs/>
          <w:sz w:val="20"/>
          <w:szCs w:val="20"/>
        </w:rPr>
        <w:t>Wayne Minami</w:t>
      </w:r>
      <w:r w:rsidRPr="00C97183">
        <w:rPr>
          <w:rFonts w:ascii="Times New Roman" w:eastAsia="Times New Roman" w:hAnsi="Times New Roman" w:cs="Times New Roman"/>
          <w:sz w:val="20"/>
          <w:szCs w:val="20"/>
        </w:rPr>
        <w:t xml:space="preserve"> for Hawaii, </w:t>
      </w:r>
      <w:r w:rsidRPr="00C97183">
        <w:rPr>
          <w:rFonts w:ascii="Times New Roman" w:eastAsia="Times New Roman" w:hAnsi="Times New Roman" w:cs="Times New Roman"/>
          <w:i/>
          <w:iCs/>
          <w:sz w:val="20"/>
          <w:szCs w:val="20"/>
        </w:rPr>
        <w:t>David H. Leroy</w:t>
      </w:r>
      <w:r w:rsidRPr="00C97183">
        <w:rPr>
          <w:rFonts w:ascii="Times New Roman" w:eastAsia="Times New Roman" w:hAnsi="Times New Roman" w:cs="Times New Roman"/>
          <w:sz w:val="20"/>
          <w:szCs w:val="20"/>
        </w:rPr>
        <w:t xml:space="preserve"> for Idaho, </w:t>
      </w:r>
      <w:r w:rsidRPr="00C97183">
        <w:rPr>
          <w:rFonts w:ascii="Times New Roman" w:eastAsia="Times New Roman" w:hAnsi="Times New Roman" w:cs="Times New Roman"/>
          <w:i/>
          <w:iCs/>
          <w:sz w:val="20"/>
          <w:szCs w:val="20"/>
        </w:rPr>
        <w:t>Theodore L. Sendak</w:t>
      </w:r>
      <w:r w:rsidRPr="00C97183">
        <w:rPr>
          <w:rFonts w:ascii="Times New Roman" w:eastAsia="Times New Roman" w:hAnsi="Times New Roman" w:cs="Times New Roman"/>
          <w:sz w:val="20"/>
          <w:szCs w:val="20"/>
        </w:rPr>
        <w:t xml:space="preserve"> for Indiana, </w:t>
      </w:r>
      <w:r w:rsidRPr="00C97183">
        <w:rPr>
          <w:rFonts w:ascii="Times New Roman" w:eastAsia="Times New Roman" w:hAnsi="Times New Roman" w:cs="Times New Roman"/>
          <w:i/>
          <w:iCs/>
          <w:sz w:val="20"/>
          <w:szCs w:val="20"/>
        </w:rPr>
        <w:t>Tom Miller</w:t>
      </w:r>
      <w:r w:rsidRPr="00C97183">
        <w:rPr>
          <w:rFonts w:ascii="Times New Roman" w:eastAsia="Times New Roman" w:hAnsi="Times New Roman" w:cs="Times New Roman"/>
          <w:sz w:val="20"/>
          <w:szCs w:val="20"/>
        </w:rPr>
        <w:t xml:space="preserve"> for Iowa, </w:t>
      </w:r>
      <w:r w:rsidRPr="00C97183">
        <w:rPr>
          <w:rFonts w:ascii="Times New Roman" w:eastAsia="Times New Roman" w:hAnsi="Times New Roman" w:cs="Times New Roman"/>
          <w:i/>
          <w:iCs/>
          <w:sz w:val="20"/>
          <w:szCs w:val="20"/>
        </w:rPr>
        <w:t>Robert T. Stephan</w:t>
      </w:r>
      <w:r w:rsidRPr="00C97183">
        <w:rPr>
          <w:rFonts w:ascii="Times New Roman" w:eastAsia="Times New Roman" w:hAnsi="Times New Roman" w:cs="Times New Roman"/>
          <w:sz w:val="20"/>
          <w:szCs w:val="20"/>
        </w:rPr>
        <w:t xml:space="preserve"> for Kansas, </w:t>
      </w:r>
      <w:r w:rsidRPr="00C97183">
        <w:rPr>
          <w:rFonts w:ascii="Times New Roman" w:eastAsia="Times New Roman" w:hAnsi="Times New Roman" w:cs="Times New Roman"/>
          <w:i/>
          <w:iCs/>
          <w:sz w:val="20"/>
          <w:szCs w:val="20"/>
        </w:rPr>
        <w:t>William J. Guste, Jr.,</w:t>
      </w:r>
      <w:r w:rsidRPr="00C97183">
        <w:rPr>
          <w:rFonts w:ascii="Times New Roman" w:eastAsia="Times New Roman" w:hAnsi="Times New Roman" w:cs="Times New Roman"/>
          <w:sz w:val="20"/>
          <w:szCs w:val="20"/>
        </w:rPr>
        <w:t xml:space="preserve"> for Louisiana, </w:t>
      </w:r>
      <w:r w:rsidRPr="00C97183">
        <w:rPr>
          <w:rFonts w:ascii="Times New Roman" w:eastAsia="Times New Roman" w:hAnsi="Times New Roman" w:cs="Times New Roman"/>
          <w:i/>
          <w:iCs/>
          <w:sz w:val="20"/>
          <w:szCs w:val="20"/>
        </w:rPr>
        <w:t>Stephen H. Sachs</w:t>
      </w:r>
      <w:r w:rsidRPr="00C97183">
        <w:rPr>
          <w:rFonts w:ascii="Times New Roman" w:eastAsia="Times New Roman" w:hAnsi="Times New Roman" w:cs="Times New Roman"/>
          <w:sz w:val="20"/>
          <w:szCs w:val="20"/>
        </w:rPr>
        <w:t xml:space="preserve"> for Maryland, </w:t>
      </w:r>
      <w:r w:rsidRPr="00C97183">
        <w:rPr>
          <w:rFonts w:ascii="Times New Roman" w:eastAsia="Times New Roman" w:hAnsi="Times New Roman" w:cs="Times New Roman"/>
          <w:i/>
          <w:iCs/>
          <w:sz w:val="20"/>
          <w:szCs w:val="20"/>
        </w:rPr>
        <w:t>A. F. Summer</w:t>
      </w:r>
      <w:r w:rsidRPr="00C97183">
        <w:rPr>
          <w:rFonts w:ascii="Times New Roman" w:eastAsia="Times New Roman" w:hAnsi="Times New Roman" w:cs="Times New Roman"/>
          <w:sz w:val="20"/>
          <w:szCs w:val="20"/>
        </w:rPr>
        <w:t xml:space="preserve"> for Mississippi, </w:t>
      </w:r>
      <w:r w:rsidRPr="00C97183">
        <w:rPr>
          <w:rFonts w:ascii="Times New Roman" w:eastAsia="Times New Roman" w:hAnsi="Times New Roman" w:cs="Times New Roman"/>
          <w:i/>
          <w:iCs/>
          <w:sz w:val="20"/>
          <w:szCs w:val="20"/>
        </w:rPr>
        <w:t>John D. Ashcroft</w:t>
      </w:r>
      <w:r w:rsidRPr="00C97183">
        <w:rPr>
          <w:rFonts w:ascii="Times New Roman" w:eastAsia="Times New Roman" w:hAnsi="Times New Roman" w:cs="Times New Roman"/>
          <w:sz w:val="20"/>
          <w:szCs w:val="20"/>
        </w:rPr>
        <w:t xml:space="preserve"> for Missouri, </w:t>
      </w:r>
      <w:r w:rsidRPr="00C97183">
        <w:rPr>
          <w:rFonts w:ascii="Times New Roman" w:eastAsia="Times New Roman" w:hAnsi="Times New Roman" w:cs="Times New Roman"/>
          <w:i/>
          <w:iCs/>
          <w:sz w:val="20"/>
          <w:szCs w:val="20"/>
        </w:rPr>
        <w:t>Michael T. Greely</w:t>
      </w:r>
      <w:r w:rsidRPr="00C97183">
        <w:rPr>
          <w:rFonts w:ascii="Times New Roman" w:eastAsia="Times New Roman" w:hAnsi="Times New Roman" w:cs="Times New Roman"/>
          <w:sz w:val="20"/>
          <w:szCs w:val="20"/>
        </w:rPr>
        <w:t xml:space="preserve"> for Montana, </w:t>
      </w:r>
      <w:r w:rsidRPr="00C97183">
        <w:rPr>
          <w:rFonts w:ascii="Times New Roman" w:eastAsia="Times New Roman" w:hAnsi="Times New Roman" w:cs="Times New Roman"/>
          <w:i/>
          <w:iCs/>
          <w:sz w:val="20"/>
          <w:szCs w:val="20"/>
        </w:rPr>
        <w:t>Paul L. Douglas</w:t>
      </w:r>
      <w:r w:rsidRPr="00C97183">
        <w:rPr>
          <w:rFonts w:ascii="Times New Roman" w:eastAsia="Times New Roman" w:hAnsi="Times New Roman" w:cs="Times New Roman"/>
          <w:sz w:val="20"/>
          <w:szCs w:val="20"/>
        </w:rPr>
        <w:t xml:space="preserve"> for Nebraska, </w:t>
      </w:r>
      <w:r w:rsidRPr="00C97183">
        <w:rPr>
          <w:rFonts w:ascii="Times New Roman" w:eastAsia="Times New Roman" w:hAnsi="Times New Roman" w:cs="Times New Roman"/>
          <w:i/>
          <w:iCs/>
          <w:sz w:val="20"/>
          <w:szCs w:val="20"/>
        </w:rPr>
        <w:t>Thomas D. Rath</w:t>
      </w:r>
      <w:r w:rsidRPr="00C97183">
        <w:rPr>
          <w:rFonts w:ascii="Times New Roman" w:eastAsia="Times New Roman" w:hAnsi="Times New Roman" w:cs="Times New Roman"/>
          <w:sz w:val="20"/>
          <w:szCs w:val="20"/>
        </w:rPr>
        <w:t xml:space="preserve"> for New Hampshire, </w:t>
      </w:r>
      <w:r w:rsidRPr="00C97183">
        <w:rPr>
          <w:rFonts w:ascii="Times New Roman" w:eastAsia="Times New Roman" w:hAnsi="Times New Roman" w:cs="Times New Roman"/>
          <w:i/>
          <w:iCs/>
          <w:sz w:val="20"/>
          <w:szCs w:val="20"/>
        </w:rPr>
        <w:t>John J. Degnan</w:t>
      </w:r>
      <w:r w:rsidRPr="00C97183">
        <w:rPr>
          <w:rFonts w:ascii="Times New Roman" w:eastAsia="Times New Roman" w:hAnsi="Times New Roman" w:cs="Times New Roman"/>
          <w:sz w:val="20"/>
          <w:szCs w:val="20"/>
        </w:rPr>
        <w:t xml:space="preserve"> for New Jersey, </w:t>
      </w:r>
      <w:r w:rsidRPr="00C97183">
        <w:rPr>
          <w:rFonts w:ascii="Times New Roman" w:eastAsia="Times New Roman" w:hAnsi="Times New Roman" w:cs="Times New Roman"/>
          <w:i/>
          <w:iCs/>
          <w:sz w:val="20"/>
          <w:szCs w:val="20"/>
        </w:rPr>
        <w:t>Robert Abrams</w:t>
      </w:r>
      <w:r w:rsidRPr="00C97183">
        <w:rPr>
          <w:rFonts w:ascii="Times New Roman" w:eastAsia="Times New Roman" w:hAnsi="Times New Roman" w:cs="Times New Roman"/>
          <w:sz w:val="20"/>
          <w:szCs w:val="20"/>
        </w:rPr>
        <w:t xml:space="preserve"> for New York, </w:t>
      </w:r>
      <w:r w:rsidRPr="00C97183">
        <w:rPr>
          <w:rFonts w:ascii="Times New Roman" w:eastAsia="Times New Roman" w:hAnsi="Times New Roman" w:cs="Times New Roman"/>
          <w:i/>
          <w:iCs/>
          <w:sz w:val="20"/>
          <w:szCs w:val="20"/>
        </w:rPr>
        <w:t>Rufus L. Edmisten</w:t>
      </w:r>
      <w:r w:rsidRPr="00C97183">
        <w:rPr>
          <w:rFonts w:ascii="Times New Roman" w:eastAsia="Times New Roman" w:hAnsi="Times New Roman" w:cs="Times New Roman"/>
          <w:sz w:val="20"/>
          <w:szCs w:val="20"/>
        </w:rPr>
        <w:t xml:space="preserve"> for North Carolina, </w:t>
      </w:r>
      <w:r w:rsidRPr="00C97183">
        <w:rPr>
          <w:rFonts w:ascii="Times New Roman" w:eastAsia="Times New Roman" w:hAnsi="Times New Roman" w:cs="Times New Roman"/>
          <w:i/>
          <w:iCs/>
          <w:sz w:val="20"/>
          <w:szCs w:val="20"/>
        </w:rPr>
        <w:t>Allen I. Olson</w:t>
      </w:r>
      <w:r w:rsidRPr="00C97183">
        <w:rPr>
          <w:rFonts w:ascii="Times New Roman" w:eastAsia="Times New Roman" w:hAnsi="Times New Roman" w:cs="Times New Roman"/>
          <w:sz w:val="20"/>
          <w:szCs w:val="20"/>
        </w:rPr>
        <w:t xml:space="preserve"> for North Dakota, </w:t>
      </w:r>
      <w:r w:rsidRPr="00C97183">
        <w:rPr>
          <w:rFonts w:ascii="Times New Roman" w:eastAsia="Times New Roman" w:hAnsi="Times New Roman" w:cs="Times New Roman"/>
          <w:i/>
          <w:iCs/>
          <w:sz w:val="20"/>
          <w:szCs w:val="20"/>
        </w:rPr>
        <w:t>William J. Brown</w:t>
      </w:r>
      <w:r w:rsidRPr="00C97183">
        <w:rPr>
          <w:rFonts w:ascii="Times New Roman" w:eastAsia="Times New Roman" w:hAnsi="Times New Roman" w:cs="Times New Roman"/>
          <w:sz w:val="20"/>
          <w:szCs w:val="20"/>
        </w:rPr>
        <w:t xml:space="preserve"> for Ohio, </w:t>
      </w:r>
      <w:r w:rsidRPr="00C97183">
        <w:rPr>
          <w:rFonts w:ascii="Times New Roman" w:eastAsia="Times New Roman" w:hAnsi="Times New Roman" w:cs="Times New Roman"/>
          <w:i/>
          <w:iCs/>
          <w:sz w:val="20"/>
          <w:szCs w:val="20"/>
        </w:rPr>
        <w:t>Jan Eric Cartwright</w:t>
      </w:r>
      <w:r w:rsidRPr="00C97183">
        <w:rPr>
          <w:rFonts w:ascii="Times New Roman" w:eastAsia="Times New Roman" w:hAnsi="Times New Roman" w:cs="Times New Roman"/>
          <w:sz w:val="20"/>
          <w:szCs w:val="20"/>
        </w:rPr>
        <w:t xml:space="preserve"> for Oklahoma, </w:t>
      </w:r>
      <w:r w:rsidRPr="00C97183">
        <w:rPr>
          <w:rFonts w:ascii="Times New Roman" w:eastAsia="Times New Roman" w:hAnsi="Times New Roman" w:cs="Times New Roman"/>
          <w:i/>
          <w:iCs/>
          <w:sz w:val="20"/>
          <w:szCs w:val="20"/>
        </w:rPr>
        <w:t>James A. Redden</w:t>
      </w:r>
      <w:r w:rsidRPr="00C97183">
        <w:rPr>
          <w:rFonts w:ascii="Times New Roman" w:eastAsia="Times New Roman" w:hAnsi="Times New Roman" w:cs="Times New Roman"/>
          <w:sz w:val="20"/>
          <w:szCs w:val="20"/>
        </w:rPr>
        <w:t xml:space="preserve"> for Oregon, </w:t>
      </w:r>
      <w:r w:rsidRPr="00C97183">
        <w:rPr>
          <w:rFonts w:ascii="Times New Roman" w:eastAsia="Times New Roman" w:hAnsi="Times New Roman" w:cs="Times New Roman"/>
          <w:i/>
          <w:iCs/>
          <w:sz w:val="20"/>
          <w:szCs w:val="20"/>
        </w:rPr>
        <w:t>Daniel R. McLeod</w:t>
      </w:r>
      <w:r w:rsidRPr="00C97183">
        <w:rPr>
          <w:rFonts w:ascii="Times New Roman" w:eastAsia="Times New Roman" w:hAnsi="Times New Roman" w:cs="Times New Roman"/>
          <w:sz w:val="20"/>
          <w:szCs w:val="20"/>
        </w:rPr>
        <w:t xml:space="preserve"> for South Carolina, </w:t>
      </w:r>
      <w:r w:rsidRPr="00C97183">
        <w:rPr>
          <w:rFonts w:ascii="Times New Roman" w:eastAsia="Times New Roman" w:hAnsi="Times New Roman" w:cs="Times New Roman"/>
          <w:i/>
          <w:iCs/>
          <w:sz w:val="20"/>
          <w:szCs w:val="20"/>
        </w:rPr>
        <w:t>William M. Leech, Jr.,</w:t>
      </w:r>
      <w:r w:rsidRPr="00C97183">
        <w:rPr>
          <w:rFonts w:ascii="Times New Roman" w:eastAsia="Times New Roman" w:hAnsi="Times New Roman" w:cs="Times New Roman"/>
          <w:sz w:val="20"/>
          <w:szCs w:val="20"/>
        </w:rPr>
        <w:t xml:space="preserve"> for Tennessee, </w:t>
      </w:r>
      <w:r w:rsidRPr="00C97183">
        <w:rPr>
          <w:rFonts w:ascii="Times New Roman" w:eastAsia="Times New Roman" w:hAnsi="Times New Roman" w:cs="Times New Roman"/>
          <w:i/>
          <w:iCs/>
          <w:sz w:val="20"/>
          <w:szCs w:val="20"/>
        </w:rPr>
        <w:t>Mark White</w:t>
      </w:r>
      <w:r w:rsidRPr="00C97183">
        <w:rPr>
          <w:rFonts w:ascii="Times New Roman" w:eastAsia="Times New Roman" w:hAnsi="Times New Roman" w:cs="Times New Roman"/>
          <w:sz w:val="20"/>
          <w:szCs w:val="20"/>
        </w:rPr>
        <w:t xml:space="preserve"> for Texas, </w:t>
      </w:r>
      <w:r w:rsidRPr="00C97183">
        <w:rPr>
          <w:rFonts w:ascii="Times New Roman" w:eastAsia="Times New Roman" w:hAnsi="Times New Roman" w:cs="Times New Roman"/>
          <w:i/>
          <w:iCs/>
          <w:sz w:val="20"/>
          <w:szCs w:val="20"/>
        </w:rPr>
        <w:t>Slade Gorton</w:t>
      </w:r>
      <w:r w:rsidRPr="00C97183">
        <w:rPr>
          <w:rFonts w:ascii="Times New Roman" w:eastAsia="Times New Roman" w:hAnsi="Times New Roman" w:cs="Times New Roman"/>
          <w:sz w:val="20"/>
          <w:szCs w:val="20"/>
        </w:rPr>
        <w:t xml:space="preserve"> for Washington, </w:t>
      </w:r>
      <w:r w:rsidRPr="00C97183">
        <w:rPr>
          <w:rFonts w:ascii="Times New Roman" w:eastAsia="Times New Roman" w:hAnsi="Times New Roman" w:cs="Times New Roman"/>
          <w:i/>
          <w:iCs/>
          <w:sz w:val="20"/>
          <w:szCs w:val="20"/>
        </w:rPr>
        <w:t>Chauncey H. Browning, Jr.,</w:t>
      </w:r>
      <w:r w:rsidRPr="00C97183">
        <w:rPr>
          <w:rFonts w:ascii="Times New Roman" w:eastAsia="Times New Roman" w:hAnsi="Times New Roman" w:cs="Times New Roman"/>
          <w:sz w:val="20"/>
          <w:szCs w:val="20"/>
        </w:rPr>
        <w:t xml:space="preserve"> for West Virginia, and </w:t>
      </w:r>
      <w:r w:rsidRPr="00C97183">
        <w:rPr>
          <w:rFonts w:ascii="Times New Roman" w:eastAsia="Times New Roman" w:hAnsi="Times New Roman" w:cs="Times New Roman"/>
          <w:i/>
          <w:iCs/>
          <w:sz w:val="20"/>
          <w:szCs w:val="20"/>
        </w:rPr>
        <w:t>Bronson C. LaFollette</w:t>
      </w:r>
      <w:r w:rsidRPr="00C97183">
        <w:rPr>
          <w:rFonts w:ascii="Times New Roman" w:eastAsia="Times New Roman" w:hAnsi="Times New Roman" w:cs="Times New Roman"/>
          <w:sz w:val="20"/>
          <w:szCs w:val="20"/>
        </w:rPr>
        <w:t xml:space="preserve"> for Wisconsin. Briefs of </w:t>
      </w:r>
      <w:r w:rsidRPr="00C97183">
        <w:rPr>
          <w:rFonts w:ascii="Times New Roman" w:eastAsia="Times New Roman" w:hAnsi="Times New Roman" w:cs="Times New Roman"/>
          <w:i/>
          <w:iCs/>
          <w:sz w:val="20"/>
          <w:szCs w:val="20"/>
        </w:rPr>
        <w:t>amici curiae</w:t>
      </w:r>
      <w:r w:rsidRPr="00C97183">
        <w:rPr>
          <w:rFonts w:ascii="Times New Roman" w:eastAsia="Times New Roman" w:hAnsi="Times New Roman" w:cs="Times New Roman"/>
          <w:sz w:val="20"/>
          <w:szCs w:val="20"/>
        </w:rPr>
        <w:t xml:space="preserve"> urging reversal were filed by </w:t>
      </w:r>
      <w:r w:rsidRPr="00C97183">
        <w:rPr>
          <w:rFonts w:ascii="Times New Roman" w:eastAsia="Times New Roman" w:hAnsi="Times New Roman" w:cs="Times New Roman"/>
          <w:i/>
          <w:iCs/>
          <w:sz w:val="20"/>
          <w:szCs w:val="20"/>
        </w:rPr>
        <w:t>Joseph A. Keyes, Jr.,</w:t>
      </w:r>
      <w:r w:rsidRPr="00C97183">
        <w:rPr>
          <w:rFonts w:ascii="Times New Roman" w:eastAsia="Times New Roman" w:hAnsi="Times New Roman" w:cs="Times New Roman"/>
          <w:sz w:val="20"/>
          <w:szCs w:val="20"/>
        </w:rPr>
        <w:t xml:space="preserve"> for the Association of American Medical Colleges; by </w:t>
      </w:r>
      <w:r w:rsidRPr="00C97183">
        <w:rPr>
          <w:rFonts w:ascii="Times New Roman" w:eastAsia="Times New Roman" w:hAnsi="Times New Roman" w:cs="Times New Roman"/>
          <w:i/>
          <w:iCs/>
          <w:sz w:val="20"/>
          <w:szCs w:val="20"/>
        </w:rPr>
        <w:t>Daniel I. Sherry</w:t>
      </w:r>
      <w:r w:rsidRPr="00C97183">
        <w:rPr>
          <w:rFonts w:ascii="Times New Roman" w:eastAsia="Times New Roman" w:hAnsi="Times New Roman" w:cs="Times New Roman"/>
          <w:sz w:val="20"/>
          <w:szCs w:val="20"/>
        </w:rPr>
        <w:t xml:space="preserve"> for the Board of Trustees of Prince George's Community College; by </w:t>
      </w:r>
      <w:r w:rsidRPr="00C97183">
        <w:rPr>
          <w:rFonts w:ascii="Times New Roman" w:eastAsia="Times New Roman" w:hAnsi="Times New Roman" w:cs="Times New Roman"/>
          <w:i/>
          <w:iCs/>
          <w:sz w:val="20"/>
          <w:szCs w:val="20"/>
        </w:rPr>
        <w:t>Susan A. Cahoon, William A. Wright,</w:t>
      </w:r>
      <w:r w:rsidRPr="00C97183">
        <w:rPr>
          <w:rFonts w:ascii="Times New Roman" w:eastAsia="Times New Roman" w:hAnsi="Times New Roman" w:cs="Times New Roman"/>
          <w:sz w:val="20"/>
          <w:szCs w:val="20"/>
        </w:rPr>
        <w:t xml:space="preserve"> and </w:t>
      </w:r>
      <w:r w:rsidRPr="00C97183">
        <w:rPr>
          <w:rFonts w:ascii="Times New Roman" w:eastAsia="Times New Roman" w:hAnsi="Times New Roman" w:cs="Times New Roman"/>
          <w:i/>
          <w:iCs/>
          <w:sz w:val="20"/>
          <w:szCs w:val="20"/>
        </w:rPr>
        <w:t>Douglas S. McDowell</w:t>
      </w:r>
      <w:r w:rsidRPr="00C97183">
        <w:rPr>
          <w:rFonts w:ascii="Times New Roman" w:eastAsia="Times New Roman" w:hAnsi="Times New Roman" w:cs="Times New Roman"/>
          <w:sz w:val="20"/>
          <w:szCs w:val="20"/>
        </w:rPr>
        <w:t xml:space="preserve"> for the Equal Employment Advisory Council; and by </w:t>
      </w:r>
      <w:r w:rsidRPr="00C97183">
        <w:rPr>
          <w:rFonts w:ascii="Times New Roman" w:eastAsia="Times New Roman" w:hAnsi="Times New Roman" w:cs="Times New Roman"/>
          <w:i/>
          <w:iCs/>
          <w:sz w:val="20"/>
          <w:szCs w:val="20"/>
        </w:rPr>
        <w:t>Richard A. Fulton</w:t>
      </w:r>
      <w:r w:rsidRPr="00C97183">
        <w:rPr>
          <w:rFonts w:ascii="Times New Roman" w:eastAsia="Times New Roman" w:hAnsi="Times New Roman" w:cs="Times New Roman"/>
          <w:sz w:val="20"/>
          <w:szCs w:val="20"/>
        </w:rPr>
        <w:t xml:space="preserve"> and </w:t>
      </w:r>
      <w:r w:rsidRPr="00C97183">
        <w:rPr>
          <w:rFonts w:ascii="Times New Roman" w:eastAsia="Times New Roman" w:hAnsi="Times New Roman" w:cs="Times New Roman"/>
          <w:i/>
          <w:iCs/>
          <w:sz w:val="20"/>
          <w:szCs w:val="20"/>
        </w:rPr>
        <w:t>David M. Dorsen</w:t>
      </w:r>
      <w:r w:rsidRPr="00C97183">
        <w:rPr>
          <w:rFonts w:ascii="Times New Roman" w:eastAsia="Times New Roman" w:hAnsi="Times New Roman" w:cs="Times New Roman"/>
          <w:sz w:val="20"/>
          <w:szCs w:val="20"/>
        </w:rPr>
        <w:t xml:space="preserve"> for the National Institute for Independent Colleges and Universities et al.</w:t>
      </w:r>
    </w:p>
    <w:bookmarkStart w:id="15" w:name="[2]"/>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0"/>
          <w:szCs w:val="20"/>
        </w:rPr>
      </w:pPr>
      <w:r w:rsidRPr="00C97183">
        <w:rPr>
          <w:rFonts w:ascii="Times New Roman" w:eastAsia="Times New Roman" w:hAnsi="Times New Roman" w:cs="Times New Roman"/>
          <w:sz w:val="20"/>
          <w:szCs w:val="20"/>
        </w:rPr>
        <w:fldChar w:fldCharType="begin"/>
      </w:r>
      <w:r w:rsidRPr="00C97183">
        <w:rPr>
          <w:rFonts w:ascii="Times New Roman" w:eastAsia="Times New Roman" w:hAnsi="Times New Roman" w:cs="Times New Roman"/>
          <w:sz w:val="20"/>
          <w:szCs w:val="20"/>
        </w:rPr>
        <w:instrText xml:space="preserve"> HYPERLINK "http://scholar.google.com/scholar_case?case=15117215513508737370&amp;hl=en&amp;as_sdt=6&amp;as_vis=1&amp;oi=scholarr" \l "r[2]" </w:instrText>
      </w:r>
      <w:r w:rsidRPr="00C97183">
        <w:rPr>
          <w:rFonts w:ascii="Times New Roman" w:eastAsia="Times New Roman" w:hAnsi="Times New Roman" w:cs="Times New Roman"/>
          <w:sz w:val="20"/>
          <w:szCs w:val="20"/>
        </w:rPr>
        <w:fldChar w:fldCharType="separate"/>
      </w:r>
      <w:r w:rsidRPr="00C97183">
        <w:rPr>
          <w:rFonts w:ascii="Times New Roman" w:eastAsia="Times New Roman" w:hAnsi="Times New Roman" w:cs="Times New Roman"/>
          <w:color w:val="0000FF"/>
          <w:sz w:val="20"/>
          <w:szCs w:val="20"/>
          <w:u w:val="single"/>
        </w:rPr>
        <w:t>[1]</w:t>
      </w:r>
      <w:r w:rsidRPr="00C97183">
        <w:rPr>
          <w:rFonts w:ascii="Times New Roman" w:eastAsia="Times New Roman" w:hAnsi="Times New Roman" w:cs="Times New Roman"/>
          <w:sz w:val="20"/>
          <w:szCs w:val="20"/>
        </w:rPr>
        <w:fldChar w:fldCharType="end"/>
      </w:r>
      <w:bookmarkEnd w:id="15"/>
      <w:r w:rsidRPr="00C97183">
        <w:rPr>
          <w:rFonts w:ascii="Times New Roman" w:eastAsia="Times New Roman" w:hAnsi="Times New Roman" w:cs="Times New Roman"/>
          <w:sz w:val="20"/>
          <w:szCs w:val="20"/>
        </w:rPr>
        <w:t xml:space="preserve"> McRee also wrote that respondent's hearing disability could preclude her practicing safely in "any setting" allowed by "a license as L[icensed] P[ractical] N[urse]." App. 132a. Respondent contends that inasmuch as she already was licensed as a practical nurse, McRee's opinion was inherently incredible. But the record indicates that respondent had "not worked as a licensed practical nurse except to do a little bit of private duty," </w:t>
      </w:r>
      <w:r w:rsidRPr="00C97183">
        <w:rPr>
          <w:rFonts w:ascii="Times New Roman" w:eastAsia="Times New Roman" w:hAnsi="Times New Roman" w:cs="Times New Roman"/>
          <w:i/>
          <w:iCs/>
          <w:sz w:val="20"/>
          <w:szCs w:val="20"/>
        </w:rPr>
        <w:t>id.,</w:t>
      </w:r>
      <w:r w:rsidRPr="00C97183">
        <w:rPr>
          <w:rFonts w:ascii="Times New Roman" w:eastAsia="Times New Roman" w:hAnsi="Times New Roman" w:cs="Times New Roman"/>
          <w:sz w:val="20"/>
          <w:szCs w:val="20"/>
        </w:rPr>
        <w:t xml:space="preserve"> at 32a, and had not done that for several years before applying to Southeastern. Accordingly, it is at least possible to infer that respondent in fact could not work safely as a practical nurse in spite of her license to do so. In any event, we note the finding of the District Court that "a Licensed Practical Nurse, unlike a Licensed Registered Nurse, operates under constant supervision and is not allowed to perform medical tasks which require a great degree of technical sophistication." 424 F. Supp. 1341, 1342-1343 (EDNC 1976).</w:t>
      </w:r>
    </w:p>
    <w:bookmarkStart w:id="16" w:name="[3]"/>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0"/>
          <w:szCs w:val="20"/>
        </w:rPr>
      </w:pPr>
      <w:r w:rsidRPr="00C97183">
        <w:rPr>
          <w:rFonts w:ascii="Times New Roman" w:eastAsia="Times New Roman" w:hAnsi="Times New Roman" w:cs="Times New Roman"/>
          <w:sz w:val="20"/>
          <w:szCs w:val="20"/>
        </w:rPr>
        <w:fldChar w:fldCharType="begin"/>
      </w:r>
      <w:r w:rsidRPr="00C97183">
        <w:rPr>
          <w:rFonts w:ascii="Times New Roman" w:eastAsia="Times New Roman" w:hAnsi="Times New Roman" w:cs="Times New Roman"/>
          <w:sz w:val="20"/>
          <w:szCs w:val="20"/>
        </w:rPr>
        <w:instrText xml:space="preserve"> HYPERLINK "http://scholar.google.com/scholar_case?case=15117215513508737370&amp;hl=en&amp;as_sdt=6&amp;as_vis=1&amp;oi=scholarr" \l "r[3]" </w:instrText>
      </w:r>
      <w:r w:rsidRPr="00C97183">
        <w:rPr>
          <w:rFonts w:ascii="Times New Roman" w:eastAsia="Times New Roman" w:hAnsi="Times New Roman" w:cs="Times New Roman"/>
          <w:sz w:val="20"/>
          <w:szCs w:val="20"/>
        </w:rPr>
        <w:fldChar w:fldCharType="separate"/>
      </w:r>
      <w:r w:rsidRPr="00C97183">
        <w:rPr>
          <w:rFonts w:ascii="Times New Roman" w:eastAsia="Times New Roman" w:hAnsi="Times New Roman" w:cs="Times New Roman"/>
          <w:color w:val="0000FF"/>
          <w:sz w:val="20"/>
          <w:szCs w:val="20"/>
          <w:u w:val="single"/>
        </w:rPr>
        <w:t>[2]</w:t>
      </w:r>
      <w:r w:rsidRPr="00C97183">
        <w:rPr>
          <w:rFonts w:ascii="Times New Roman" w:eastAsia="Times New Roman" w:hAnsi="Times New Roman" w:cs="Times New Roman"/>
          <w:sz w:val="20"/>
          <w:szCs w:val="20"/>
        </w:rPr>
        <w:fldChar w:fldCharType="end"/>
      </w:r>
      <w:bookmarkEnd w:id="16"/>
      <w:r w:rsidRPr="00C97183">
        <w:rPr>
          <w:rFonts w:ascii="Times New Roman" w:eastAsia="Times New Roman" w:hAnsi="Times New Roman" w:cs="Times New Roman"/>
          <w:sz w:val="20"/>
          <w:szCs w:val="20"/>
        </w:rPr>
        <w:t xml:space="preserve"> The statute, as set forth in 29 U. S. C. § 794 (1976 ed., Supp. III), provides in full: </w:t>
      </w:r>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0"/>
          <w:szCs w:val="20"/>
        </w:rPr>
      </w:pPr>
      <w:r w:rsidRPr="00C97183">
        <w:rPr>
          <w:rFonts w:ascii="Times New Roman" w:eastAsia="Times New Roman" w:hAnsi="Times New Roman" w:cs="Times New Roman"/>
          <w:sz w:val="20"/>
          <w:szCs w:val="20"/>
        </w:rPr>
        <w:t xml:space="preserve">"No otherwise qualified handicapped individual in the United States, as defined in section 706 (7) of this title, shall, solely by reason of his handicap, be excluded from the participation in, be denied the benefits of, or be subjected to discrimination under any program or activity receiving Federal financial assistance </w:t>
      </w:r>
      <w:r w:rsidRPr="00C97183">
        <w:rPr>
          <w:rFonts w:ascii="Times New Roman" w:eastAsia="Times New Roman" w:hAnsi="Times New Roman" w:cs="Times New Roman"/>
          <w:i/>
          <w:iCs/>
          <w:sz w:val="20"/>
          <w:szCs w:val="20"/>
        </w:rPr>
        <w:t>or under any program or activity conducted by any Executive agency or by the United States Postal Service. The head of each such agency shall promulgate such regulations as may be necessary to carry out the amendments to this section made by the Rehabilitation, Comprehensive Services, and Developmental Disabilities Act of 1978. Copies of any proposed regulation shall be submitted to appropriate authorizing committees of the Congress, and such regulation may take effect no earlier than the thirtieth day after the date on which such regulation is so submitted to such committees."</w:t>
      </w:r>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0"/>
          <w:szCs w:val="20"/>
        </w:rPr>
      </w:pPr>
      <w:r w:rsidRPr="00C97183">
        <w:rPr>
          <w:rFonts w:ascii="Times New Roman" w:eastAsia="Times New Roman" w:hAnsi="Times New Roman" w:cs="Times New Roman"/>
          <w:sz w:val="20"/>
          <w:szCs w:val="20"/>
        </w:rPr>
        <w:t>The italicized portion of the section was added by § 119 of the Rehabilitation, Comprehensive Services, and Developmental Disabilities Amendments of 1978, 92 Stat. 2982. Respondent asserts no claim under this portion of the statute.</w:t>
      </w:r>
    </w:p>
    <w:bookmarkStart w:id="17" w:name="[4]"/>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0"/>
          <w:szCs w:val="20"/>
        </w:rPr>
      </w:pPr>
      <w:r w:rsidRPr="00C97183">
        <w:rPr>
          <w:rFonts w:ascii="Times New Roman" w:eastAsia="Times New Roman" w:hAnsi="Times New Roman" w:cs="Times New Roman"/>
          <w:sz w:val="20"/>
          <w:szCs w:val="20"/>
        </w:rPr>
        <w:lastRenderedPageBreak/>
        <w:fldChar w:fldCharType="begin"/>
      </w:r>
      <w:r w:rsidRPr="00C97183">
        <w:rPr>
          <w:rFonts w:ascii="Times New Roman" w:eastAsia="Times New Roman" w:hAnsi="Times New Roman" w:cs="Times New Roman"/>
          <w:sz w:val="20"/>
          <w:szCs w:val="20"/>
        </w:rPr>
        <w:instrText xml:space="preserve"> HYPERLINK "http://scholar.google.com/scholar_case?case=15117215513508737370&amp;hl=en&amp;as_sdt=6&amp;as_vis=1&amp;oi=scholarr" \l "r[4]" </w:instrText>
      </w:r>
      <w:r w:rsidRPr="00C97183">
        <w:rPr>
          <w:rFonts w:ascii="Times New Roman" w:eastAsia="Times New Roman" w:hAnsi="Times New Roman" w:cs="Times New Roman"/>
          <w:sz w:val="20"/>
          <w:szCs w:val="20"/>
        </w:rPr>
        <w:fldChar w:fldCharType="separate"/>
      </w:r>
      <w:r w:rsidRPr="00C97183">
        <w:rPr>
          <w:rFonts w:ascii="Times New Roman" w:eastAsia="Times New Roman" w:hAnsi="Times New Roman" w:cs="Times New Roman"/>
          <w:color w:val="0000FF"/>
          <w:sz w:val="20"/>
          <w:szCs w:val="20"/>
          <w:u w:val="single"/>
        </w:rPr>
        <w:t>[3]</w:t>
      </w:r>
      <w:r w:rsidRPr="00C97183">
        <w:rPr>
          <w:rFonts w:ascii="Times New Roman" w:eastAsia="Times New Roman" w:hAnsi="Times New Roman" w:cs="Times New Roman"/>
          <w:sz w:val="20"/>
          <w:szCs w:val="20"/>
        </w:rPr>
        <w:fldChar w:fldCharType="end"/>
      </w:r>
      <w:bookmarkEnd w:id="17"/>
      <w:r w:rsidRPr="00C97183">
        <w:rPr>
          <w:rFonts w:ascii="Times New Roman" w:eastAsia="Times New Roman" w:hAnsi="Times New Roman" w:cs="Times New Roman"/>
          <w:sz w:val="20"/>
          <w:szCs w:val="20"/>
        </w:rPr>
        <w:t xml:space="preserve"> The District Court also dismissed respondent's constitutional claims. The Court of Appeals affirmed that portion of the order, and respondent has not sought review of this ruling.</w:t>
      </w:r>
    </w:p>
    <w:bookmarkStart w:id="18" w:name="[5]"/>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0"/>
          <w:szCs w:val="20"/>
        </w:rPr>
      </w:pPr>
      <w:r w:rsidRPr="00C97183">
        <w:rPr>
          <w:rFonts w:ascii="Times New Roman" w:eastAsia="Times New Roman" w:hAnsi="Times New Roman" w:cs="Times New Roman"/>
          <w:sz w:val="20"/>
          <w:szCs w:val="20"/>
        </w:rPr>
        <w:fldChar w:fldCharType="begin"/>
      </w:r>
      <w:r w:rsidRPr="00C97183">
        <w:rPr>
          <w:rFonts w:ascii="Times New Roman" w:eastAsia="Times New Roman" w:hAnsi="Times New Roman" w:cs="Times New Roman"/>
          <w:sz w:val="20"/>
          <w:szCs w:val="20"/>
        </w:rPr>
        <w:instrText xml:space="preserve"> HYPERLINK "http://scholar.google.com/scholar_case?case=15117215513508737370&amp;hl=en&amp;as_sdt=6&amp;as_vis=1&amp;oi=scholarr" \l "r[5]" </w:instrText>
      </w:r>
      <w:r w:rsidRPr="00C97183">
        <w:rPr>
          <w:rFonts w:ascii="Times New Roman" w:eastAsia="Times New Roman" w:hAnsi="Times New Roman" w:cs="Times New Roman"/>
          <w:sz w:val="20"/>
          <w:szCs w:val="20"/>
        </w:rPr>
        <w:fldChar w:fldCharType="separate"/>
      </w:r>
      <w:r w:rsidRPr="00C97183">
        <w:rPr>
          <w:rFonts w:ascii="Times New Roman" w:eastAsia="Times New Roman" w:hAnsi="Times New Roman" w:cs="Times New Roman"/>
          <w:color w:val="0000FF"/>
          <w:sz w:val="20"/>
          <w:szCs w:val="20"/>
          <w:u w:val="single"/>
        </w:rPr>
        <w:t>[4]</w:t>
      </w:r>
      <w:r w:rsidRPr="00C97183">
        <w:rPr>
          <w:rFonts w:ascii="Times New Roman" w:eastAsia="Times New Roman" w:hAnsi="Times New Roman" w:cs="Times New Roman"/>
          <w:sz w:val="20"/>
          <w:szCs w:val="20"/>
        </w:rPr>
        <w:fldChar w:fldCharType="end"/>
      </w:r>
      <w:bookmarkEnd w:id="18"/>
      <w:r w:rsidRPr="00C97183">
        <w:rPr>
          <w:rFonts w:ascii="Times New Roman" w:eastAsia="Times New Roman" w:hAnsi="Times New Roman" w:cs="Times New Roman"/>
          <w:sz w:val="20"/>
          <w:szCs w:val="20"/>
        </w:rPr>
        <w:t xml:space="preserve"> Relying on the plain language of the Act, the Department of Health, Education, and Welfare (HEW) at first did not promulgate any regulations to implement § 504. In a subsequent suit against HEW, however, the United States District Court for the District of Columbia held that Congress had intended regulations to be issued and ordered HEW to do so. </w:t>
      </w:r>
      <w:hyperlink r:id="rId12" w:history="1">
        <w:r w:rsidRPr="00C97183">
          <w:rPr>
            <w:rFonts w:ascii="Times New Roman" w:eastAsia="Times New Roman" w:hAnsi="Times New Roman" w:cs="Times New Roman"/>
            <w:i/>
            <w:iCs/>
            <w:color w:val="0000FF"/>
            <w:sz w:val="20"/>
            <w:szCs w:val="20"/>
            <w:u w:val="single"/>
          </w:rPr>
          <w:t>Cherry</w:t>
        </w:r>
        <w:r w:rsidRPr="00C97183">
          <w:rPr>
            <w:rFonts w:ascii="Times New Roman" w:eastAsia="Times New Roman" w:hAnsi="Times New Roman" w:cs="Times New Roman"/>
            <w:color w:val="0000FF"/>
            <w:sz w:val="20"/>
            <w:szCs w:val="20"/>
            <w:u w:val="single"/>
          </w:rPr>
          <w:t xml:space="preserve"> v. </w:t>
        </w:r>
        <w:r w:rsidRPr="00C97183">
          <w:rPr>
            <w:rFonts w:ascii="Times New Roman" w:eastAsia="Times New Roman" w:hAnsi="Times New Roman" w:cs="Times New Roman"/>
            <w:i/>
            <w:iCs/>
            <w:color w:val="0000FF"/>
            <w:sz w:val="20"/>
            <w:szCs w:val="20"/>
            <w:u w:val="single"/>
          </w:rPr>
          <w:t>Mathews,</w:t>
        </w:r>
        <w:r w:rsidRPr="00C97183">
          <w:rPr>
            <w:rFonts w:ascii="Times New Roman" w:eastAsia="Times New Roman" w:hAnsi="Times New Roman" w:cs="Times New Roman"/>
            <w:color w:val="0000FF"/>
            <w:sz w:val="20"/>
            <w:szCs w:val="20"/>
            <w:u w:val="single"/>
          </w:rPr>
          <w:t xml:space="preserve"> 419 F. Supp. 922 (1976)</w:t>
        </w:r>
      </w:hyperlink>
      <w:r w:rsidRPr="00C97183">
        <w:rPr>
          <w:rFonts w:ascii="Times New Roman" w:eastAsia="Times New Roman" w:hAnsi="Times New Roman" w:cs="Times New Roman"/>
          <w:sz w:val="20"/>
          <w:szCs w:val="20"/>
        </w:rPr>
        <w:t>. The ensuing regulations currently are embodied in 45 CFR pt. 84 (1978).</w:t>
      </w:r>
    </w:p>
    <w:bookmarkStart w:id="19" w:name="[6]"/>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0"/>
          <w:szCs w:val="20"/>
        </w:rPr>
      </w:pPr>
      <w:r w:rsidRPr="00C97183">
        <w:rPr>
          <w:rFonts w:ascii="Times New Roman" w:eastAsia="Times New Roman" w:hAnsi="Times New Roman" w:cs="Times New Roman"/>
          <w:sz w:val="20"/>
          <w:szCs w:val="20"/>
        </w:rPr>
        <w:fldChar w:fldCharType="begin"/>
      </w:r>
      <w:r w:rsidRPr="00C97183">
        <w:rPr>
          <w:rFonts w:ascii="Times New Roman" w:eastAsia="Times New Roman" w:hAnsi="Times New Roman" w:cs="Times New Roman"/>
          <w:sz w:val="20"/>
          <w:szCs w:val="20"/>
        </w:rPr>
        <w:instrText xml:space="preserve"> HYPERLINK "http://scholar.google.com/scholar_case?case=15117215513508737370&amp;hl=en&amp;as_sdt=6&amp;as_vis=1&amp;oi=scholarr" \l "r[6]" </w:instrText>
      </w:r>
      <w:r w:rsidRPr="00C97183">
        <w:rPr>
          <w:rFonts w:ascii="Times New Roman" w:eastAsia="Times New Roman" w:hAnsi="Times New Roman" w:cs="Times New Roman"/>
          <w:sz w:val="20"/>
          <w:szCs w:val="20"/>
        </w:rPr>
        <w:fldChar w:fldCharType="separate"/>
      </w:r>
      <w:r w:rsidRPr="00C97183">
        <w:rPr>
          <w:rFonts w:ascii="Times New Roman" w:eastAsia="Times New Roman" w:hAnsi="Times New Roman" w:cs="Times New Roman"/>
          <w:color w:val="0000FF"/>
          <w:sz w:val="20"/>
          <w:szCs w:val="20"/>
          <w:u w:val="single"/>
        </w:rPr>
        <w:t>[5]</w:t>
      </w:r>
      <w:r w:rsidRPr="00C97183">
        <w:rPr>
          <w:rFonts w:ascii="Times New Roman" w:eastAsia="Times New Roman" w:hAnsi="Times New Roman" w:cs="Times New Roman"/>
          <w:sz w:val="20"/>
          <w:szCs w:val="20"/>
        </w:rPr>
        <w:fldChar w:fldCharType="end"/>
      </w:r>
      <w:bookmarkEnd w:id="19"/>
      <w:r w:rsidRPr="00C97183">
        <w:rPr>
          <w:rFonts w:ascii="Times New Roman" w:eastAsia="Times New Roman" w:hAnsi="Times New Roman" w:cs="Times New Roman"/>
          <w:sz w:val="20"/>
          <w:szCs w:val="20"/>
        </w:rPr>
        <w:t xml:space="preserve"> In addition to challenging the construction of § 504 by the Court of Appeals, Southeastern also contends that respondent cannot seek judicial relief for violations of that statute in view of the absence of any express private right of action. Respondent asserts that whether or not § 504 provides a private action, she may maintain her suit under 42 U. S. C. § 1983. In light of our disposition of this case on the merits, it is unnecessary to address these issues and we express no views on them. See </w:t>
      </w:r>
      <w:hyperlink r:id="rId13" w:history="1">
        <w:r w:rsidRPr="00C97183">
          <w:rPr>
            <w:rFonts w:ascii="Times New Roman" w:eastAsia="Times New Roman" w:hAnsi="Times New Roman" w:cs="Times New Roman"/>
            <w:i/>
            <w:iCs/>
            <w:color w:val="0000FF"/>
            <w:sz w:val="20"/>
            <w:szCs w:val="20"/>
            <w:u w:val="single"/>
          </w:rPr>
          <w:t>Norton</w:t>
        </w:r>
        <w:r w:rsidRPr="00C97183">
          <w:rPr>
            <w:rFonts w:ascii="Times New Roman" w:eastAsia="Times New Roman" w:hAnsi="Times New Roman" w:cs="Times New Roman"/>
            <w:color w:val="0000FF"/>
            <w:sz w:val="20"/>
            <w:szCs w:val="20"/>
            <w:u w:val="single"/>
          </w:rPr>
          <w:t xml:space="preserve"> v. </w:t>
        </w:r>
        <w:r w:rsidRPr="00C97183">
          <w:rPr>
            <w:rFonts w:ascii="Times New Roman" w:eastAsia="Times New Roman" w:hAnsi="Times New Roman" w:cs="Times New Roman"/>
            <w:i/>
            <w:iCs/>
            <w:color w:val="0000FF"/>
            <w:sz w:val="20"/>
            <w:szCs w:val="20"/>
            <w:u w:val="single"/>
          </w:rPr>
          <w:t>Mathews,</w:t>
        </w:r>
        <w:r w:rsidRPr="00C97183">
          <w:rPr>
            <w:rFonts w:ascii="Times New Roman" w:eastAsia="Times New Roman" w:hAnsi="Times New Roman" w:cs="Times New Roman"/>
            <w:color w:val="0000FF"/>
            <w:sz w:val="20"/>
            <w:szCs w:val="20"/>
            <w:u w:val="single"/>
          </w:rPr>
          <w:t xml:space="preserve"> 427 U. S. 524, 529-531 (1976)</w:t>
        </w:r>
      </w:hyperlink>
      <w:r w:rsidRPr="00C97183">
        <w:rPr>
          <w:rFonts w:ascii="Times New Roman" w:eastAsia="Times New Roman" w:hAnsi="Times New Roman" w:cs="Times New Roman"/>
          <w:sz w:val="20"/>
          <w:szCs w:val="20"/>
        </w:rPr>
        <w:t xml:space="preserve">; </w:t>
      </w:r>
      <w:hyperlink r:id="rId14" w:history="1">
        <w:r w:rsidRPr="00C97183">
          <w:rPr>
            <w:rFonts w:ascii="Times New Roman" w:eastAsia="Times New Roman" w:hAnsi="Times New Roman" w:cs="Times New Roman"/>
            <w:i/>
            <w:iCs/>
            <w:color w:val="0000FF"/>
            <w:sz w:val="20"/>
            <w:szCs w:val="20"/>
            <w:u w:val="single"/>
          </w:rPr>
          <w:t>Moor</w:t>
        </w:r>
        <w:r w:rsidRPr="00C97183">
          <w:rPr>
            <w:rFonts w:ascii="Times New Roman" w:eastAsia="Times New Roman" w:hAnsi="Times New Roman" w:cs="Times New Roman"/>
            <w:color w:val="0000FF"/>
            <w:sz w:val="20"/>
            <w:szCs w:val="20"/>
            <w:u w:val="single"/>
          </w:rPr>
          <w:t xml:space="preserve"> v. </w:t>
        </w:r>
        <w:r w:rsidRPr="00C97183">
          <w:rPr>
            <w:rFonts w:ascii="Times New Roman" w:eastAsia="Times New Roman" w:hAnsi="Times New Roman" w:cs="Times New Roman"/>
            <w:i/>
            <w:iCs/>
            <w:color w:val="0000FF"/>
            <w:sz w:val="20"/>
            <w:szCs w:val="20"/>
            <w:u w:val="single"/>
          </w:rPr>
          <w:t>County of Alameda,</w:t>
        </w:r>
        <w:r w:rsidRPr="00C97183">
          <w:rPr>
            <w:rFonts w:ascii="Times New Roman" w:eastAsia="Times New Roman" w:hAnsi="Times New Roman" w:cs="Times New Roman"/>
            <w:color w:val="0000FF"/>
            <w:sz w:val="20"/>
            <w:szCs w:val="20"/>
            <w:u w:val="single"/>
          </w:rPr>
          <w:t xml:space="preserve"> 411 U. S. 693, 715 (1973)</w:t>
        </w:r>
      </w:hyperlink>
      <w:r w:rsidRPr="00C97183">
        <w:rPr>
          <w:rFonts w:ascii="Times New Roman" w:eastAsia="Times New Roman" w:hAnsi="Times New Roman" w:cs="Times New Roman"/>
          <w:sz w:val="20"/>
          <w:szCs w:val="20"/>
        </w:rPr>
        <w:t xml:space="preserve">; </w:t>
      </w:r>
      <w:hyperlink r:id="rId15" w:history="1">
        <w:r w:rsidRPr="00C97183">
          <w:rPr>
            <w:rFonts w:ascii="Times New Roman" w:eastAsia="Times New Roman" w:hAnsi="Times New Roman" w:cs="Times New Roman"/>
            <w:i/>
            <w:iCs/>
            <w:color w:val="0000FF"/>
            <w:sz w:val="20"/>
            <w:szCs w:val="20"/>
            <w:u w:val="single"/>
          </w:rPr>
          <w:t>United States</w:t>
        </w:r>
        <w:r w:rsidRPr="00C97183">
          <w:rPr>
            <w:rFonts w:ascii="Times New Roman" w:eastAsia="Times New Roman" w:hAnsi="Times New Roman" w:cs="Times New Roman"/>
            <w:color w:val="0000FF"/>
            <w:sz w:val="20"/>
            <w:szCs w:val="20"/>
            <w:u w:val="single"/>
          </w:rPr>
          <w:t xml:space="preserve"> v. </w:t>
        </w:r>
        <w:r w:rsidRPr="00C97183">
          <w:rPr>
            <w:rFonts w:ascii="Times New Roman" w:eastAsia="Times New Roman" w:hAnsi="Times New Roman" w:cs="Times New Roman"/>
            <w:i/>
            <w:iCs/>
            <w:color w:val="0000FF"/>
            <w:sz w:val="20"/>
            <w:szCs w:val="20"/>
            <w:u w:val="single"/>
          </w:rPr>
          <w:t>Augenblick,</w:t>
        </w:r>
        <w:r w:rsidRPr="00C97183">
          <w:rPr>
            <w:rFonts w:ascii="Times New Roman" w:eastAsia="Times New Roman" w:hAnsi="Times New Roman" w:cs="Times New Roman"/>
            <w:color w:val="0000FF"/>
            <w:sz w:val="20"/>
            <w:szCs w:val="20"/>
            <w:u w:val="single"/>
          </w:rPr>
          <w:t xml:space="preserve"> 393 U. S. 348, 351-352 (1969)</w:t>
        </w:r>
      </w:hyperlink>
      <w:r w:rsidRPr="00C97183">
        <w:rPr>
          <w:rFonts w:ascii="Times New Roman" w:eastAsia="Times New Roman" w:hAnsi="Times New Roman" w:cs="Times New Roman"/>
          <w:sz w:val="20"/>
          <w:szCs w:val="20"/>
        </w:rPr>
        <w:t>.</w:t>
      </w:r>
    </w:p>
    <w:bookmarkStart w:id="20" w:name="[7]"/>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0"/>
          <w:szCs w:val="20"/>
        </w:rPr>
      </w:pPr>
      <w:r w:rsidRPr="00C97183">
        <w:rPr>
          <w:rFonts w:ascii="Times New Roman" w:eastAsia="Times New Roman" w:hAnsi="Times New Roman" w:cs="Times New Roman"/>
          <w:sz w:val="20"/>
          <w:szCs w:val="20"/>
        </w:rPr>
        <w:fldChar w:fldCharType="begin"/>
      </w:r>
      <w:r w:rsidRPr="00C97183">
        <w:rPr>
          <w:rFonts w:ascii="Times New Roman" w:eastAsia="Times New Roman" w:hAnsi="Times New Roman" w:cs="Times New Roman"/>
          <w:sz w:val="20"/>
          <w:szCs w:val="20"/>
        </w:rPr>
        <w:instrText xml:space="preserve"> HYPERLINK "http://scholar.google.com/scholar_case?case=15117215513508737370&amp;hl=en&amp;as_sdt=6&amp;as_vis=1&amp;oi=scholarr" \l "r[7]" </w:instrText>
      </w:r>
      <w:r w:rsidRPr="00C97183">
        <w:rPr>
          <w:rFonts w:ascii="Times New Roman" w:eastAsia="Times New Roman" w:hAnsi="Times New Roman" w:cs="Times New Roman"/>
          <w:sz w:val="20"/>
          <w:szCs w:val="20"/>
        </w:rPr>
        <w:fldChar w:fldCharType="separate"/>
      </w:r>
      <w:r w:rsidRPr="00C97183">
        <w:rPr>
          <w:rFonts w:ascii="Times New Roman" w:eastAsia="Times New Roman" w:hAnsi="Times New Roman" w:cs="Times New Roman"/>
          <w:color w:val="0000FF"/>
          <w:sz w:val="20"/>
          <w:szCs w:val="20"/>
          <w:u w:val="single"/>
        </w:rPr>
        <w:t>[6]</w:t>
      </w:r>
      <w:r w:rsidRPr="00C97183">
        <w:rPr>
          <w:rFonts w:ascii="Times New Roman" w:eastAsia="Times New Roman" w:hAnsi="Times New Roman" w:cs="Times New Roman"/>
          <w:sz w:val="20"/>
          <w:szCs w:val="20"/>
        </w:rPr>
        <w:fldChar w:fldCharType="end"/>
      </w:r>
      <w:bookmarkEnd w:id="20"/>
      <w:r w:rsidRPr="00C97183">
        <w:rPr>
          <w:rFonts w:ascii="Times New Roman" w:eastAsia="Times New Roman" w:hAnsi="Times New Roman" w:cs="Times New Roman"/>
          <w:sz w:val="20"/>
          <w:szCs w:val="20"/>
        </w:rPr>
        <w:t xml:space="preserve"> The Act defines "handcapped individual" as follows: </w:t>
      </w:r>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0"/>
          <w:szCs w:val="20"/>
        </w:rPr>
      </w:pPr>
      <w:r w:rsidRPr="00C97183">
        <w:rPr>
          <w:rFonts w:ascii="Times New Roman" w:eastAsia="Times New Roman" w:hAnsi="Times New Roman" w:cs="Times New Roman"/>
          <w:sz w:val="20"/>
          <w:szCs w:val="20"/>
        </w:rPr>
        <w:t>"The term `handicapped individual' means any individual who (A) has a physical or mental disability which for such individual constitutes or results in a substantial handicap to employment and (B) can reasonably be expected to benefit in terms of employability from vocational rehabilitation services provided pursuant to subchapters I and III of this chapter. For the purposes of subchapters IV and V of this chapter, such term means any person who (A) has a physical or mental impairment which substantially limits one or more of such person's major life activities, (B) has a record of such an impairment, or (C) is regarded as having such an impairment." § 7 (6) of the Rehabilitation Act of 1973, 87 Stat. 361, as amended, 88 Stat. 1619, 89 Stat. 2-5, 29 U. S. C. § 706 (6).</w:t>
      </w:r>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0"/>
          <w:szCs w:val="20"/>
        </w:rPr>
      </w:pPr>
      <w:r w:rsidRPr="00C97183">
        <w:rPr>
          <w:rFonts w:ascii="Times New Roman" w:eastAsia="Times New Roman" w:hAnsi="Times New Roman" w:cs="Times New Roman"/>
          <w:sz w:val="20"/>
          <w:szCs w:val="20"/>
        </w:rPr>
        <w:t>This definition comports with our understanding of § 504. A person who has a record of, or is regarded as having, an impairment may at present have no actual incapacity at all. Such a person would be exactly the kind of individual who could be "otherwise qualified" to participate in covered programs. And a person who suffers from a limiting physical or mental impairment still may possess other abilities that permit him to meet the requirements of various programs. Thus, it is clear that Congress included among the class of "handicapped" persons covered by § 504 a range of individuals who could be "otherwise qualified." See S. Rep. No. 93-1297, pp. 38-39 (1974).</w:t>
      </w:r>
    </w:p>
    <w:bookmarkStart w:id="21" w:name="[8]"/>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0"/>
          <w:szCs w:val="20"/>
        </w:rPr>
      </w:pPr>
      <w:r w:rsidRPr="00C97183">
        <w:rPr>
          <w:rFonts w:ascii="Times New Roman" w:eastAsia="Times New Roman" w:hAnsi="Times New Roman" w:cs="Times New Roman"/>
          <w:sz w:val="20"/>
          <w:szCs w:val="20"/>
        </w:rPr>
        <w:fldChar w:fldCharType="begin"/>
      </w:r>
      <w:r w:rsidRPr="00C97183">
        <w:rPr>
          <w:rFonts w:ascii="Times New Roman" w:eastAsia="Times New Roman" w:hAnsi="Times New Roman" w:cs="Times New Roman"/>
          <w:sz w:val="20"/>
          <w:szCs w:val="20"/>
        </w:rPr>
        <w:instrText xml:space="preserve"> HYPERLINK "http://scholar.google.com/scholar_case?case=15117215513508737370&amp;hl=en&amp;as_sdt=6&amp;as_vis=1&amp;oi=scholarr" \l "r[8]" </w:instrText>
      </w:r>
      <w:r w:rsidRPr="00C97183">
        <w:rPr>
          <w:rFonts w:ascii="Times New Roman" w:eastAsia="Times New Roman" w:hAnsi="Times New Roman" w:cs="Times New Roman"/>
          <w:sz w:val="20"/>
          <w:szCs w:val="20"/>
        </w:rPr>
        <w:fldChar w:fldCharType="separate"/>
      </w:r>
      <w:r w:rsidRPr="00C97183">
        <w:rPr>
          <w:rFonts w:ascii="Times New Roman" w:eastAsia="Times New Roman" w:hAnsi="Times New Roman" w:cs="Times New Roman"/>
          <w:color w:val="0000FF"/>
          <w:sz w:val="20"/>
          <w:szCs w:val="20"/>
          <w:u w:val="single"/>
        </w:rPr>
        <w:t>[7]</w:t>
      </w:r>
      <w:r w:rsidRPr="00C97183">
        <w:rPr>
          <w:rFonts w:ascii="Times New Roman" w:eastAsia="Times New Roman" w:hAnsi="Times New Roman" w:cs="Times New Roman"/>
          <w:sz w:val="20"/>
          <w:szCs w:val="20"/>
        </w:rPr>
        <w:fldChar w:fldCharType="end"/>
      </w:r>
      <w:bookmarkEnd w:id="21"/>
      <w:r w:rsidRPr="00C97183">
        <w:rPr>
          <w:rFonts w:ascii="Times New Roman" w:eastAsia="Times New Roman" w:hAnsi="Times New Roman" w:cs="Times New Roman"/>
          <w:sz w:val="20"/>
          <w:szCs w:val="20"/>
        </w:rPr>
        <w:t xml:space="preserve"> The note states: </w:t>
      </w:r>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0"/>
          <w:szCs w:val="20"/>
        </w:rPr>
      </w:pPr>
      <w:r w:rsidRPr="00C97183">
        <w:rPr>
          <w:rFonts w:ascii="Times New Roman" w:eastAsia="Times New Roman" w:hAnsi="Times New Roman" w:cs="Times New Roman"/>
          <w:sz w:val="20"/>
          <w:szCs w:val="20"/>
        </w:rPr>
        <w:t>"Paragraph (k) of § 84.3 defines the term `qualified handicapped person.' Throughout the regulation, this term is used instead of the statutory term `otherwise qualified handicapped person.' The Department believes that the omission of the word `otherwise' is necessary in order to comport with the intent of the statute because, read literally, `otherwise' qualified handicapped persons include persons who are qualified except for their handicap, rather than in spite of their handicap. Under such a literal reading, a blind person possessing all the qualifications for driving a bus except sight could be said to be `otherwise qualified' for the job of driving. Clearly, such a result was not intended by Congress. In all other respects, the terms `qualified' and `otherwise qualified' are intended to be interchangeable." 45 CFR pt. 84, App. A, p. 405 (1978).</w:t>
      </w:r>
    </w:p>
    <w:bookmarkStart w:id="22" w:name="[9]"/>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0"/>
          <w:szCs w:val="20"/>
        </w:rPr>
      </w:pPr>
      <w:r w:rsidRPr="00C97183">
        <w:rPr>
          <w:rFonts w:ascii="Times New Roman" w:eastAsia="Times New Roman" w:hAnsi="Times New Roman" w:cs="Times New Roman"/>
          <w:sz w:val="20"/>
          <w:szCs w:val="20"/>
        </w:rPr>
        <w:fldChar w:fldCharType="begin"/>
      </w:r>
      <w:r w:rsidRPr="00C97183">
        <w:rPr>
          <w:rFonts w:ascii="Times New Roman" w:eastAsia="Times New Roman" w:hAnsi="Times New Roman" w:cs="Times New Roman"/>
          <w:sz w:val="20"/>
          <w:szCs w:val="20"/>
        </w:rPr>
        <w:instrText xml:space="preserve"> HYPERLINK "http://scholar.google.com/scholar_case?case=15117215513508737370&amp;hl=en&amp;as_sdt=6&amp;as_vis=1&amp;oi=scholarr" \l "r[9]" </w:instrText>
      </w:r>
      <w:r w:rsidRPr="00C97183">
        <w:rPr>
          <w:rFonts w:ascii="Times New Roman" w:eastAsia="Times New Roman" w:hAnsi="Times New Roman" w:cs="Times New Roman"/>
          <w:sz w:val="20"/>
          <w:szCs w:val="20"/>
        </w:rPr>
        <w:fldChar w:fldCharType="separate"/>
      </w:r>
      <w:r w:rsidRPr="00C97183">
        <w:rPr>
          <w:rFonts w:ascii="Times New Roman" w:eastAsia="Times New Roman" w:hAnsi="Times New Roman" w:cs="Times New Roman"/>
          <w:color w:val="0000FF"/>
          <w:sz w:val="20"/>
          <w:szCs w:val="20"/>
          <w:u w:val="single"/>
        </w:rPr>
        <w:t>[8]</w:t>
      </w:r>
      <w:r w:rsidRPr="00C97183">
        <w:rPr>
          <w:rFonts w:ascii="Times New Roman" w:eastAsia="Times New Roman" w:hAnsi="Times New Roman" w:cs="Times New Roman"/>
          <w:sz w:val="20"/>
          <w:szCs w:val="20"/>
        </w:rPr>
        <w:fldChar w:fldCharType="end"/>
      </w:r>
      <w:bookmarkEnd w:id="22"/>
      <w:r w:rsidRPr="00C97183">
        <w:rPr>
          <w:rFonts w:ascii="Times New Roman" w:eastAsia="Times New Roman" w:hAnsi="Times New Roman" w:cs="Times New Roman"/>
          <w:sz w:val="20"/>
          <w:szCs w:val="20"/>
        </w:rPr>
        <w:t xml:space="preserve"> The court below adopted a portion of this argument: </w:t>
      </w:r>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0"/>
          <w:szCs w:val="20"/>
        </w:rPr>
      </w:pPr>
      <w:r w:rsidRPr="00C97183">
        <w:rPr>
          <w:rFonts w:ascii="Times New Roman" w:eastAsia="Times New Roman" w:hAnsi="Times New Roman" w:cs="Times New Roman"/>
          <w:sz w:val="20"/>
          <w:szCs w:val="20"/>
        </w:rPr>
        <w:t>"[Respondent's] ability to read lips aids her in overcoming her hearing disability; however, it was argued that in certain situations such as in an operating room environment where surgical masks are used, this ability would be unavailing to her.</w:t>
      </w:r>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0"/>
          <w:szCs w:val="20"/>
        </w:rPr>
      </w:pPr>
      <w:r w:rsidRPr="00C97183">
        <w:rPr>
          <w:rFonts w:ascii="Times New Roman" w:eastAsia="Times New Roman" w:hAnsi="Times New Roman" w:cs="Times New Roman"/>
          <w:sz w:val="20"/>
          <w:szCs w:val="20"/>
        </w:rPr>
        <w:t>"Be that as it may, in the medical community, there does appear to be a number of settings in which the plaintiff could perform satisfactorily as an RN, such as in industry or perhaps a physician's office. Certainly [respondent] could be viewed as possessing extraordinary insight into the medical and emotional needs of those with hearing disabilities.</w:t>
      </w:r>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0"/>
          <w:szCs w:val="20"/>
        </w:rPr>
      </w:pPr>
      <w:r w:rsidRPr="00C97183">
        <w:rPr>
          <w:rFonts w:ascii="Times New Roman" w:eastAsia="Times New Roman" w:hAnsi="Times New Roman" w:cs="Times New Roman"/>
          <w:sz w:val="20"/>
          <w:szCs w:val="20"/>
        </w:rPr>
        <w:lastRenderedPageBreak/>
        <w:t xml:space="preserve">"If [respondent] meets all the other criteria for admission in the pursuit of her RN career, under the relevant North Carolina statutes, N.C. Gen. Stat. §§ 90-158, </w:t>
      </w:r>
      <w:r w:rsidRPr="00C97183">
        <w:rPr>
          <w:rFonts w:ascii="Times New Roman" w:eastAsia="Times New Roman" w:hAnsi="Times New Roman" w:cs="Times New Roman"/>
          <w:i/>
          <w:iCs/>
          <w:sz w:val="20"/>
          <w:szCs w:val="20"/>
        </w:rPr>
        <w:t>et seq.,</w:t>
      </w:r>
      <w:r w:rsidRPr="00C97183">
        <w:rPr>
          <w:rFonts w:ascii="Times New Roman" w:eastAsia="Times New Roman" w:hAnsi="Times New Roman" w:cs="Times New Roman"/>
          <w:sz w:val="20"/>
          <w:szCs w:val="20"/>
        </w:rPr>
        <w:t xml:space="preserve"> it should not be foreclosed to her simply because she may not be able to function effectively in all the roles which registered nurses may choose for their careers." 574 F. 2d 1158, 1161 n. 6 (1978).</w:t>
      </w:r>
    </w:p>
    <w:bookmarkStart w:id="23" w:name="[10]"/>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0"/>
          <w:szCs w:val="20"/>
        </w:rPr>
      </w:pPr>
      <w:r w:rsidRPr="00C97183">
        <w:rPr>
          <w:rFonts w:ascii="Times New Roman" w:eastAsia="Times New Roman" w:hAnsi="Times New Roman" w:cs="Times New Roman"/>
          <w:sz w:val="20"/>
          <w:szCs w:val="20"/>
        </w:rPr>
        <w:fldChar w:fldCharType="begin"/>
      </w:r>
      <w:r w:rsidRPr="00C97183">
        <w:rPr>
          <w:rFonts w:ascii="Times New Roman" w:eastAsia="Times New Roman" w:hAnsi="Times New Roman" w:cs="Times New Roman"/>
          <w:sz w:val="20"/>
          <w:szCs w:val="20"/>
        </w:rPr>
        <w:instrText xml:space="preserve"> HYPERLINK "http://scholar.google.com/scholar_case?case=15117215513508737370&amp;hl=en&amp;as_sdt=6&amp;as_vis=1&amp;oi=scholarr" \l "r[10]" </w:instrText>
      </w:r>
      <w:r w:rsidRPr="00C97183">
        <w:rPr>
          <w:rFonts w:ascii="Times New Roman" w:eastAsia="Times New Roman" w:hAnsi="Times New Roman" w:cs="Times New Roman"/>
          <w:sz w:val="20"/>
          <w:szCs w:val="20"/>
        </w:rPr>
        <w:fldChar w:fldCharType="separate"/>
      </w:r>
      <w:r w:rsidRPr="00C97183">
        <w:rPr>
          <w:rFonts w:ascii="Times New Roman" w:eastAsia="Times New Roman" w:hAnsi="Times New Roman" w:cs="Times New Roman"/>
          <w:color w:val="0000FF"/>
          <w:sz w:val="20"/>
          <w:szCs w:val="20"/>
          <w:u w:val="single"/>
        </w:rPr>
        <w:t>[9]</w:t>
      </w:r>
      <w:r w:rsidRPr="00C97183">
        <w:rPr>
          <w:rFonts w:ascii="Times New Roman" w:eastAsia="Times New Roman" w:hAnsi="Times New Roman" w:cs="Times New Roman"/>
          <w:sz w:val="20"/>
          <w:szCs w:val="20"/>
        </w:rPr>
        <w:fldChar w:fldCharType="end"/>
      </w:r>
      <w:bookmarkEnd w:id="23"/>
      <w:r w:rsidRPr="00C97183">
        <w:rPr>
          <w:rFonts w:ascii="Times New Roman" w:eastAsia="Times New Roman" w:hAnsi="Times New Roman" w:cs="Times New Roman"/>
          <w:sz w:val="20"/>
          <w:szCs w:val="20"/>
        </w:rPr>
        <w:t xml:space="preserve"> This regulation provides: </w:t>
      </w:r>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0"/>
          <w:szCs w:val="20"/>
        </w:rPr>
      </w:pPr>
      <w:r w:rsidRPr="00C97183">
        <w:rPr>
          <w:rFonts w:ascii="Times New Roman" w:eastAsia="Times New Roman" w:hAnsi="Times New Roman" w:cs="Times New Roman"/>
          <w:sz w:val="20"/>
          <w:szCs w:val="20"/>
        </w:rPr>
        <w:t xml:space="preserve">"(a) </w:t>
      </w:r>
      <w:r w:rsidRPr="00C97183">
        <w:rPr>
          <w:rFonts w:ascii="Times New Roman" w:eastAsia="Times New Roman" w:hAnsi="Times New Roman" w:cs="Times New Roman"/>
          <w:i/>
          <w:iCs/>
          <w:sz w:val="20"/>
          <w:szCs w:val="20"/>
        </w:rPr>
        <w:t>Academic requirements.</w:t>
      </w:r>
      <w:r w:rsidRPr="00C97183">
        <w:rPr>
          <w:rFonts w:ascii="Times New Roman" w:eastAsia="Times New Roman" w:hAnsi="Times New Roman" w:cs="Times New Roman"/>
          <w:sz w:val="20"/>
          <w:szCs w:val="20"/>
        </w:rPr>
        <w:t xml:space="preserve"> A recipient [of federal funds] to which this subpart applies shall make such modifications to its academic requirements as are necessary to ensure that such requirements do not discriminate or have the effect of discriminating, on the basis of handicap, against a qualified handicapped applicant or student. Academic requirements that the recipient can demonstrate are essential to the program of instruction being pursued by such student or to any directly related licensing requirement will not be regarded as discriminatory within the meaning of this section. Modifications may include changes in the length of time permitted for the completion of degree requirements, substitution of specific courses required for the completion of degree requirements, and adaptation of the manner in which specific courses are conducted.</w:t>
      </w:r>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0"/>
          <w:szCs w:val="20"/>
        </w:rPr>
      </w:pPr>
      <w:r w:rsidRPr="00C97183">
        <w:rPr>
          <w:rFonts w:ascii="Times New Roman" w:eastAsia="Times New Roman" w:hAnsi="Times New Roman" w:cs="Times New Roman"/>
          <w:sz w:val="20"/>
          <w:szCs w:val="20"/>
        </w:rPr>
        <w:t>.....</w:t>
      </w:r>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0"/>
          <w:szCs w:val="20"/>
        </w:rPr>
      </w:pPr>
      <w:r w:rsidRPr="00C97183">
        <w:rPr>
          <w:rFonts w:ascii="Times New Roman" w:eastAsia="Times New Roman" w:hAnsi="Times New Roman" w:cs="Times New Roman"/>
          <w:sz w:val="20"/>
          <w:szCs w:val="20"/>
        </w:rPr>
        <w:t xml:space="preserve">"(d) </w:t>
      </w:r>
      <w:r w:rsidRPr="00C97183">
        <w:rPr>
          <w:rFonts w:ascii="Times New Roman" w:eastAsia="Times New Roman" w:hAnsi="Times New Roman" w:cs="Times New Roman"/>
          <w:i/>
          <w:iCs/>
          <w:sz w:val="20"/>
          <w:szCs w:val="20"/>
        </w:rPr>
        <w:t>Auxiliary aids.</w:t>
      </w:r>
      <w:r w:rsidRPr="00C97183">
        <w:rPr>
          <w:rFonts w:ascii="Times New Roman" w:eastAsia="Times New Roman" w:hAnsi="Times New Roman" w:cs="Times New Roman"/>
          <w:sz w:val="20"/>
          <w:szCs w:val="20"/>
        </w:rPr>
        <w:t xml:space="preserve"> (1) A recipient to which this subpart applies shall take such steps as are necessary to ensure that no handicapped student is denied the benefits of, excluded from participation in, or otherwise subjected to discrimination under the education program or activity operated by the recipient because of the absence of educational auxiliary aids for students with impaired sensory, manual, or speaking skills.</w:t>
      </w:r>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0"/>
          <w:szCs w:val="20"/>
        </w:rPr>
      </w:pPr>
      <w:r w:rsidRPr="00C97183">
        <w:rPr>
          <w:rFonts w:ascii="Times New Roman" w:eastAsia="Times New Roman" w:hAnsi="Times New Roman" w:cs="Times New Roman"/>
          <w:sz w:val="20"/>
          <w:szCs w:val="20"/>
        </w:rPr>
        <w:t>"(2) Auxiliary aids may include taped texts, interpreters or other effective methods of making orally delivered materials available to students with hearing impairments, readers in libraries for students with visual impairments, classroom equipment adapted for use by students with manual impairments, and other similar services and actions. Recipients need not provide attendants, individually prescribed devices, readers for personal use or study, or other devices or services of a personal nature." 45 CFR § 84.44 (1978).</w:t>
      </w:r>
    </w:p>
    <w:bookmarkStart w:id="24" w:name="[11]"/>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0"/>
          <w:szCs w:val="20"/>
        </w:rPr>
      </w:pPr>
      <w:r w:rsidRPr="00C97183">
        <w:rPr>
          <w:rFonts w:ascii="Times New Roman" w:eastAsia="Times New Roman" w:hAnsi="Times New Roman" w:cs="Times New Roman"/>
          <w:sz w:val="20"/>
          <w:szCs w:val="20"/>
        </w:rPr>
        <w:fldChar w:fldCharType="begin"/>
      </w:r>
      <w:r w:rsidRPr="00C97183">
        <w:rPr>
          <w:rFonts w:ascii="Times New Roman" w:eastAsia="Times New Roman" w:hAnsi="Times New Roman" w:cs="Times New Roman"/>
          <w:sz w:val="20"/>
          <w:szCs w:val="20"/>
        </w:rPr>
        <w:instrText xml:space="preserve"> HYPERLINK "http://scholar.google.com/scholar_case?case=15117215513508737370&amp;hl=en&amp;as_sdt=6&amp;as_vis=1&amp;oi=scholarr" \l "r[11]" </w:instrText>
      </w:r>
      <w:r w:rsidRPr="00C97183">
        <w:rPr>
          <w:rFonts w:ascii="Times New Roman" w:eastAsia="Times New Roman" w:hAnsi="Times New Roman" w:cs="Times New Roman"/>
          <w:sz w:val="20"/>
          <w:szCs w:val="20"/>
        </w:rPr>
        <w:fldChar w:fldCharType="separate"/>
      </w:r>
      <w:r w:rsidRPr="00C97183">
        <w:rPr>
          <w:rFonts w:ascii="Times New Roman" w:eastAsia="Times New Roman" w:hAnsi="Times New Roman" w:cs="Times New Roman"/>
          <w:color w:val="0000FF"/>
          <w:sz w:val="20"/>
          <w:szCs w:val="20"/>
          <w:u w:val="single"/>
        </w:rPr>
        <w:t>[10]</w:t>
      </w:r>
      <w:r w:rsidRPr="00C97183">
        <w:rPr>
          <w:rFonts w:ascii="Times New Roman" w:eastAsia="Times New Roman" w:hAnsi="Times New Roman" w:cs="Times New Roman"/>
          <w:sz w:val="20"/>
          <w:szCs w:val="20"/>
        </w:rPr>
        <w:fldChar w:fldCharType="end"/>
      </w:r>
      <w:bookmarkEnd w:id="24"/>
      <w:r w:rsidRPr="00C97183">
        <w:rPr>
          <w:rFonts w:ascii="Times New Roman" w:eastAsia="Times New Roman" w:hAnsi="Times New Roman" w:cs="Times New Roman"/>
          <w:sz w:val="20"/>
          <w:szCs w:val="20"/>
        </w:rPr>
        <w:t xml:space="preserve"> Section 115 (a) of the Rehabilitation, Comprehensive Services, and Developmental Disabilities Amendments of 1978 added to the 1973 Act a section authorizing grants to state units for the purpose of providing "such information and technical assistance (including support personnel such as interpreters for the deaf) as may be necessary to assist those entities in complying with this Act, particularly the requirements of section 504." 92 Stat. 2971, 29 U. S. C. § 775 (a) (1976 ed., Supp. III). This provision recognizes that on occasion the elimination of discrimination. might involve some costs; it does not imply that the refusal to undertake substantial changes in a program by itself constitutes discrimination. Whatever effect the availability of these funds might have on ascertaining the existence of discrimination in some future case, no such funds were available to Southeastern at the time respondent sought admission to its nursing program.</w:t>
      </w:r>
    </w:p>
    <w:bookmarkStart w:id="25" w:name="[12]"/>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0"/>
          <w:szCs w:val="20"/>
        </w:rPr>
      </w:pPr>
      <w:r w:rsidRPr="00C97183">
        <w:rPr>
          <w:rFonts w:ascii="Times New Roman" w:eastAsia="Times New Roman" w:hAnsi="Times New Roman" w:cs="Times New Roman"/>
          <w:sz w:val="20"/>
          <w:szCs w:val="20"/>
        </w:rPr>
        <w:fldChar w:fldCharType="begin"/>
      </w:r>
      <w:r w:rsidRPr="00C97183">
        <w:rPr>
          <w:rFonts w:ascii="Times New Roman" w:eastAsia="Times New Roman" w:hAnsi="Times New Roman" w:cs="Times New Roman"/>
          <w:sz w:val="20"/>
          <w:szCs w:val="20"/>
        </w:rPr>
        <w:instrText xml:space="preserve"> HYPERLINK "http://scholar.google.com/scholar_case?case=15117215513508737370&amp;hl=en&amp;as_sdt=6&amp;as_vis=1&amp;oi=scholarr" \l "r[12]" </w:instrText>
      </w:r>
      <w:r w:rsidRPr="00C97183">
        <w:rPr>
          <w:rFonts w:ascii="Times New Roman" w:eastAsia="Times New Roman" w:hAnsi="Times New Roman" w:cs="Times New Roman"/>
          <w:sz w:val="20"/>
          <w:szCs w:val="20"/>
        </w:rPr>
        <w:fldChar w:fldCharType="separate"/>
      </w:r>
      <w:r w:rsidRPr="00C97183">
        <w:rPr>
          <w:rFonts w:ascii="Times New Roman" w:eastAsia="Times New Roman" w:hAnsi="Times New Roman" w:cs="Times New Roman"/>
          <w:color w:val="0000FF"/>
          <w:sz w:val="20"/>
          <w:szCs w:val="20"/>
          <w:u w:val="single"/>
        </w:rPr>
        <w:t>[11]</w:t>
      </w:r>
      <w:r w:rsidRPr="00C97183">
        <w:rPr>
          <w:rFonts w:ascii="Times New Roman" w:eastAsia="Times New Roman" w:hAnsi="Times New Roman" w:cs="Times New Roman"/>
          <w:sz w:val="20"/>
          <w:szCs w:val="20"/>
        </w:rPr>
        <w:fldChar w:fldCharType="end"/>
      </w:r>
      <w:bookmarkEnd w:id="25"/>
      <w:r w:rsidRPr="00C97183">
        <w:rPr>
          <w:rFonts w:ascii="Times New Roman" w:eastAsia="Times New Roman" w:hAnsi="Times New Roman" w:cs="Times New Roman"/>
          <w:sz w:val="20"/>
          <w:szCs w:val="20"/>
        </w:rPr>
        <w:t xml:space="preserve"> The Government, in a brief </w:t>
      </w:r>
      <w:r w:rsidRPr="00C97183">
        <w:rPr>
          <w:rFonts w:ascii="Times New Roman" w:eastAsia="Times New Roman" w:hAnsi="Times New Roman" w:cs="Times New Roman"/>
          <w:i/>
          <w:iCs/>
          <w:sz w:val="20"/>
          <w:szCs w:val="20"/>
        </w:rPr>
        <w:t>amicus curiae</w:t>
      </w:r>
      <w:r w:rsidRPr="00C97183">
        <w:rPr>
          <w:rFonts w:ascii="Times New Roman" w:eastAsia="Times New Roman" w:hAnsi="Times New Roman" w:cs="Times New Roman"/>
          <w:sz w:val="20"/>
          <w:szCs w:val="20"/>
        </w:rPr>
        <w:t xml:space="preserve"> in support of respondent, cites a Report of the Senate Committee on Labor and Public Welfare on the 1974 amendments to the 1973 Act and several statements by individual Members of Congress during debate on the 1978 amendments, some of which indicate a belief that § 504 requires affirmative action. See Brief for United States as </w:t>
      </w:r>
      <w:r w:rsidRPr="00C97183">
        <w:rPr>
          <w:rFonts w:ascii="Times New Roman" w:eastAsia="Times New Roman" w:hAnsi="Times New Roman" w:cs="Times New Roman"/>
          <w:i/>
          <w:iCs/>
          <w:sz w:val="20"/>
          <w:szCs w:val="20"/>
        </w:rPr>
        <w:t>Amicus Curiae</w:t>
      </w:r>
      <w:r w:rsidRPr="00C97183">
        <w:rPr>
          <w:rFonts w:ascii="Times New Roman" w:eastAsia="Times New Roman" w:hAnsi="Times New Roman" w:cs="Times New Roman"/>
          <w:sz w:val="20"/>
          <w:szCs w:val="20"/>
        </w:rPr>
        <w:t xml:space="preserve"> 44-50. But these isolated statements by individual Members of Congress or its committees, all made after the enactment of the statute under consideration, cannot substitute for a clear expression of legislative intent at the time of enactment. </w:t>
      </w:r>
      <w:hyperlink r:id="rId16" w:history="1">
        <w:r w:rsidRPr="00C97183">
          <w:rPr>
            <w:rFonts w:ascii="Times New Roman" w:eastAsia="Times New Roman" w:hAnsi="Times New Roman" w:cs="Times New Roman"/>
            <w:i/>
            <w:iCs/>
            <w:color w:val="0000FF"/>
            <w:sz w:val="20"/>
            <w:szCs w:val="20"/>
            <w:u w:val="single"/>
          </w:rPr>
          <w:t>Quern</w:t>
        </w:r>
        <w:r w:rsidRPr="00C97183">
          <w:rPr>
            <w:rFonts w:ascii="Times New Roman" w:eastAsia="Times New Roman" w:hAnsi="Times New Roman" w:cs="Times New Roman"/>
            <w:color w:val="0000FF"/>
            <w:sz w:val="20"/>
            <w:szCs w:val="20"/>
            <w:u w:val="single"/>
          </w:rPr>
          <w:t xml:space="preserve"> v. </w:t>
        </w:r>
        <w:r w:rsidRPr="00C97183">
          <w:rPr>
            <w:rFonts w:ascii="Times New Roman" w:eastAsia="Times New Roman" w:hAnsi="Times New Roman" w:cs="Times New Roman"/>
            <w:i/>
            <w:iCs/>
            <w:color w:val="0000FF"/>
            <w:sz w:val="20"/>
            <w:szCs w:val="20"/>
            <w:u w:val="single"/>
          </w:rPr>
          <w:t>Mandley,</w:t>
        </w:r>
        <w:r w:rsidRPr="00C97183">
          <w:rPr>
            <w:rFonts w:ascii="Times New Roman" w:eastAsia="Times New Roman" w:hAnsi="Times New Roman" w:cs="Times New Roman"/>
            <w:color w:val="0000FF"/>
            <w:sz w:val="20"/>
            <w:szCs w:val="20"/>
            <w:u w:val="single"/>
          </w:rPr>
          <w:t xml:space="preserve"> 436 U. S. 725, 736 n. 10 (1978)</w:t>
        </w:r>
      </w:hyperlink>
      <w:r w:rsidRPr="00C97183">
        <w:rPr>
          <w:rFonts w:ascii="Times New Roman" w:eastAsia="Times New Roman" w:hAnsi="Times New Roman" w:cs="Times New Roman"/>
          <w:sz w:val="20"/>
          <w:szCs w:val="20"/>
        </w:rPr>
        <w:t xml:space="preserve">; </w:t>
      </w:r>
      <w:hyperlink r:id="rId17" w:history="1">
        <w:r w:rsidRPr="00C97183">
          <w:rPr>
            <w:rFonts w:ascii="Times New Roman" w:eastAsia="Times New Roman" w:hAnsi="Times New Roman" w:cs="Times New Roman"/>
            <w:i/>
            <w:iCs/>
            <w:color w:val="0000FF"/>
            <w:sz w:val="20"/>
            <w:szCs w:val="20"/>
            <w:u w:val="single"/>
          </w:rPr>
          <w:t>Los Angeles Dept. of Water &amp; Power</w:t>
        </w:r>
        <w:r w:rsidRPr="00C97183">
          <w:rPr>
            <w:rFonts w:ascii="Times New Roman" w:eastAsia="Times New Roman" w:hAnsi="Times New Roman" w:cs="Times New Roman"/>
            <w:color w:val="0000FF"/>
            <w:sz w:val="20"/>
            <w:szCs w:val="20"/>
            <w:u w:val="single"/>
          </w:rPr>
          <w:t xml:space="preserve"> v. </w:t>
        </w:r>
        <w:r w:rsidRPr="00C97183">
          <w:rPr>
            <w:rFonts w:ascii="Times New Roman" w:eastAsia="Times New Roman" w:hAnsi="Times New Roman" w:cs="Times New Roman"/>
            <w:i/>
            <w:iCs/>
            <w:color w:val="0000FF"/>
            <w:sz w:val="20"/>
            <w:szCs w:val="20"/>
            <w:u w:val="single"/>
          </w:rPr>
          <w:t>Manhart,</w:t>
        </w:r>
        <w:r w:rsidRPr="00C97183">
          <w:rPr>
            <w:rFonts w:ascii="Times New Roman" w:eastAsia="Times New Roman" w:hAnsi="Times New Roman" w:cs="Times New Roman"/>
            <w:color w:val="0000FF"/>
            <w:sz w:val="20"/>
            <w:szCs w:val="20"/>
            <w:u w:val="single"/>
          </w:rPr>
          <w:t xml:space="preserve"> 435 U. S. 702, 714 (1978)</w:t>
        </w:r>
      </w:hyperlink>
      <w:r w:rsidRPr="00C97183">
        <w:rPr>
          <w:rFonts w:ascii="Times New Roman" w:eastAsia="Times New Roman" w:hAnsi="Times New Roman" w:cs="Times New Roman"/>
          <w:sz w:val="20"/>
          <w:szCs w:val="20"/>
        </w:rPr>
        <w:t xml:space="preserve">. Nor do these comments, none of which represents the will of Congress as a whole, constitute subsequent "legislation" such as this Court might weigh in construing the meaning of an earlier enactment. Cf. </w:t>
      </w:r>
      <w:hyperlink r:id="rId18" w:history="1">
        <w:r w:rsidRPr="00C97183">
          <w:rPr>
            <w:rFonts w:ascii="Times New Roman" w:eastAsia="Times New Roman" w:hAnsi="Times New Roman" w:cs="Times New Roman"/>
            <w:i/>
            <w:iCs/>
            <w:color w:val="0000FF"/>
            <w:sz w:val="20"/>
            <w:szCs w:val="20"/>
            <w:u w:val="single"/>
          </w:rPr>
          <w:t>Red Lion Broadcasting Co.</w:t>
        </w:r>
        <w:r w:rsidRPr="00C97183">
          <w:rPr>
            <w:rFonts w:ascii="Times New Roman" w:eastAsia="Times New Roman" w:hAnsi="Times New Roman" w:cs="Times New Roman"/>
            <w:color w:val="0000FF"/>
            <w:sz w:val="20"/>
            <w:szCs w:val="20"/>
            <w:u w:val="single"/>
          </w:rPr>
          <w:t xml:space="preserve"> v. </w:t>
        </w:r>
        <w:r w:rsidRPr="00C97183">
          <w:rPr>
            <w:rFonts w:ascii="Times New Roman" w:eastAsia="Times New Roman" w:hAnsi="Times New Roman" w:cs="Times New Roman"/>
            <w:i/>
            <w:iCs/>
            <w:color w:val="0000FF"/>
            <w:sz w:val="20"/>
            <w:szCs w:val="20"/>
            <w:u w:val="single"/>
          </w:rPr>
          <w:t>FCC,</w:t>
        </w:r>
        <w:r w:rsidRPr="00C97183">
          <w:rPr>
            <w:rFonts w:ascii="Times New Roman" w:eastAsia="Times New Roman" w:hAnsi="Times New Roman" w:cs="Times New Roman"/>
            <w:color w:val="0000FF"/>
            <w:sz w:val="20"/>
            <w:szCs w:val="20"/>
            <w:u w:val="single"/>
          </w:rPr>
          <w:t xml:space="preserve"> 395 U. S. 367, 380-381 (1969)</w:t>
        </w:r>
      </w:hyperlink>
      <w:r w:rsidRPr="00C97183">
        <w:rPr>
          <w:rFonts w:ascii="Times New Roman" w:eastAsia="Times New Roman" w:hAnsi="Times New Roman" w:cs="Times New Roman"/>
          <w:sz w:val="20"/>
          <w:szCs w:val="20"/>
        </w:rPr>
        <w:t xml:space="preserve">. </w:t>
      </w:r>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0"/>
          <w:szCs w:val="20"/>
        </w:rPr>
      </w:pPr>
      <w:r w:rsidRPr="00C97183">
        <w:rPr>
          <w:rFonts w:ascii="Times New Roman" w:eastAsia="Times New Roman" w:hAnsi="Times New Roman" w:cs="Times New Roman"/>
          <w:sz w:val="20"/>
          <w:szCs w:val="20"/>
        </w:rPr>
        <w:t xml:space="preserve">The Government also argues that various amendments to the 1973 Act contained in the Rehabilitation Act Amendments of 1978 further reflect Congress' approval of the affirmative-action obligation created by HEW's regulations. But the amendment most directly on point undercuts this position. In amending § 504, Congress both extended that section's prohibition of discrimination to "any program or activity conducted by any Executive agency </w:t>
      </w:r>
      <w:r w:rsidRPr="00C97183">
        <w:rPr>
          <w:rFonts w:ascii="Times New Roman" w:eastAsia="Times New Roman" w:hAnsi="Times New Roman" w:cs="Times New Roman"/>
          <w:sz w:val="20"/>
          <w:szCs w:val="20"/>
        </w:rPr>
        <w:lastRenderedPageBreak/>
        <w:t xml:space="preserve">or by the United States Postal Service" and authorized administrative regulations to implement only </w:t>
      </w:r>
      <w:r w:rsidRPr="00C97183">
        <w:rPr>
          <w:rFonts w:ascii="Times New Roman" w:eastAsia="Times New Roman" w:hAnsi="Times New Roman" w:cs="Times New Roman"/>
          <w:i/>
          <w:iCs/>
          <w:sz w:val="20"/>
          <w:szCs w:val="20"/>
        </w:rPr>
        <w:t>this amendment.</w:t>
      </w:r>
      <w:r w:rsidRPr="00C97183">
        <w:rPr>
          <w:rFonts w:ascii="Times New Roman" w:eastAsia="Times New Roman" w:hAnsi="Times New Roman" w:cs="Times New Roman"/>
          <w:sz w:val="20"/>
          <w:szCs w:val="20"/>
        </w:rPr>
        <w:t xml:space="preserve"> See n. 2, </w:t>
      </w:r>
      <w:r w:rsidRPr="00C97183">
        <w:rPr>
          <w:rFonts w:ascii="Times New Roman" w:eastAsia="Times New Roman" w:hAnsi="Times New Roman" w:cs="Times New Roman"/>
          <w:i/>
          <w:iCs/>
          <w:sz w:val="20"/>
          <w:szCs w:val="20"/>
        </w:rPr>
        <w:t>supra.</w:t>
      </w:r>
      <w:r w:rsidRPr="00C97183">
        <w:rPr>
          <w:rFonts w:ascii="Times New Roman" w:eastAsia="Times New Roman" w:hAnsi="Times New Roman" w:cs="Times New Roman"/>
          <w:sz w:val="20"/>
          <w:szCs w:val="20"/>
        </w:rPr>
        <w:t xml:space="preserve"> The fact that no other regulations were mentioned supports an inference that no others were approved.</w:t>
      </w:r>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0"/>
          <w:szCs w:val="20"/>
        </w:rPr>
      </w:pPr>
      <w:r w:rsidRPr="00C97183">
        <w:rPr>
          <w:rFonts w:ascii="Times New Roman" w:eastAsia="Times New Roman" w:hAnsi="Times New Roman" w:cs="Times New Roman"/>
          <w:sz w:val="20"/>
          <w:szCs w:val="20"/>
        </w:rPr>
        <w:t xml:space="preserve">Finally, we note that the assertion by HEW of the authority to promulgate any regulations under § 504 has been neither consistent nor longstanding. For the first three years after the section was enacted, HEW maintained the position that Congress had not intended any regulations to be issued. It altered its stand only after having been enjoined to do so. See n. 4, </w:t>
      </w:r>
      <w:r w:rsidRPr="00C97183">
        <w:rPr>
          <w:rFonts w:ascii="Times New Roman" w:eastAsia="Times New Roman" w:hAnsi="Times New Roman" w:cs="Times New Roman"/>
          <w:i/>
          <w:iCs/>
          <w:sz w:val="20"/>
          <w:szCs w:val="20"/>
        </w:rPr>
        <w:t>supra.</w:t>
      </w:r>
      <w:r w:rsidRPr="00C97183">
        <w:rPr>
          <w:rFonts w:ascii="Times New Roman" w:eastAsia="Times New Roman" w:hAnsi="Times New Roman" w:cs="Times New Roman"/>
          <w:sz w:val="20"/>
          <w:szCs w:val="20"/>
        </w:rPr>
        <w:t xml:space="preserve"> This fact substantially diminishes the deference to be given to HEW's present interpretation of the statute. See </w:t>
      </w:r>
      <w:hyperlink r:id="rId19" w:history="1">
        <w:r w:rsidRPr="00C97183">
          <w:rPr>
            <w:rFonts w:ascii="Times New Roman" w:eastAsia="Times New Roman" w:hAnsi="Times New Roman" w:cs="Times New Roman"/>
            <w:i/>
            <w:iCs/>
            <w:color w:val="0000FF"/>
            <w:sz w:val="20"/>
            <w:szCs w:val="20"/>
            <w:u w:val="single"/>
          </w:rPr>
          <w:t>General Electric Co.</w:t>
        </w:r>
        <w:r w:rsidRPr="00C97183">
          <w:rPr>
            <w:rFonts w:ascii="Times New Roman" w:eastAsia="Times New Roman" w:hAnsi="Times New Roman" w:cs="Times New Roman"/>
            <w:color w:val="0000FF"/>
            <w:sz w:val="20"/>
            <w:szCs w:val="20"/>
            <w:u w:val="single"/>
          </w:rPr>
          <w:t xml:space="preserve"> v. </w:t>
        </w:r>
        <w:r w:rsidRPr="00C97183">
          <w:rPr>
            <w:rFonts w:ascii="Times New Roman" w:eastAsia="Times New Roman" w:hAnsi="Times New Roman" w:cs="Times New Roman"/>
            <w:i/>
            <w:iCs/>
            <w:color w:val="0000FF"/>
            <w:sz w:val="20"/>
            <w:szCs w:val="20"/>
            <w:u w:val="single"/>
          </w:rPr>
          <w:t>Gilbert,</w:t>
        </w:r>
        <w:r w:rsidRPr="00C97183">
          <w:rPr>
            <w:rFonts w:ascii="Times New Roman" w:eastAsia="Times New Roman" w:hAnsi="Times New Roman" w:cs="Times New Roman"/>
            <w:color w:val="0000FF"/>
            <w:sz w:val="20"/>
            <w:szCs w:val="20"/>
            <w:u w:val="single"/>
          </w:rPr>
          <w:t xml:space="preserve"> 429 U. S. 125, 143 (1976)</w:t>
        </w:r>
      </w:hyperlink>
      <w:r w:rsidRPr="00C97183">
        <w:rPr>
          <w:rFonts w:ascii="Times New Roman" w:eastAsia="Times New Roman" w:hAnsi="Times New Roman" w:cs="Times New Roman"/>
          <w:sz w:val="20"/>
          <w:szCs w:val="20"/>
        </w:rPr>
        <w:t>.</w:t>
      </w:r>
    </w:p>
    <w:bookmarkStart w:id="26" w:name="[13]"/>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0"/>
          <w:szCs w:val="20"/>
        </w:rPr>
      </w:pPr>
      <w:r w:rsidRPr="00C97183">
        <w:rPr>
          <w:rFonts w:ascii="Times New Roman" w:eastAsia="Times New Roman" w:hAnsi="Times New Roman" w:cs="Times New Roman"/>
          <w:sz w:val="20"/>
          <w:szCs w:val="20"/>
        </w:rPr>
        <w:fldChar w:fldCharType="begin"/>
      </w:r>
      <w:r w:rsidRPr="00C97183">
        <w:rPr>
          <w:rFonts w:ascii="Times New Roman" w:eastAsia="Times New Roman" w:hAnsi="Times New Roman" w:cs="Times New Roman"/>
          <w:sz w:val="20"/>
          <w:szCs w:val="20"/>
        </w:rPr>
        <w:instrText xml:space="preserve"> HYPERLINK "http://scholar.google.com/scholar_case?case=15117215513508737370&amp;hl=en&amp;as_sdt=6&amp;as_vis=1&amp;oi=scholarr" \l "r[13]" </w:instrText>
      </w:r>
      <w:r w:rsidRPr="00C97183">
        <w:rPr>
          <w:rFonts w:ascii="Times New Roman" w:eastAsia="Times New Roman" w:hAnsi="Times New Roman" w:cs="Times New Roman"/>
          <w:sz w:val="20"/>
          <w:szCs w:val="20"/>
        </w:rPr>
        <w:fldChar w:fldCharType="separate"/>
      </w:r>
      <w:r w:rsidRPr="00C97183">
        <w:rPr>
          <w:rFonts w:ascii="Times New Roman" w:eastAsia="Times New Roman" w:hAnsi="Times New Roman" w:cs="Times New Roman"/>
          <w:color w:val="0000FF"/>
          <w:sz w:val="20"/>
          <w:szCs w:val="20"/>
          <w:u w:val="single"/>
        </w:rPr>
        <w:t>[12]</w:t>
      </w:r>
      <w:r w:rsidRPr="00C97183">
        <w:rPr>
          <w:rFonts w:ascii="Times New Roman" w:eastAsia="Times New Roman" w:hAnsi="Times New Roman" w:cs="Times New Roman"/>
          <w:sz w:val="20"/>
          <w:szCs w:val="20"/>
        </w:rPr>
        <w:fldChar w:fldCharType="end"/>
      </w:r>
      <w:bookmarkEnd w:id="26"/>
      <w:r w:rsidRPr="00C97183">
        <w:rPr>
          <w:rFonts w:ascii="Times New Roman" w:eastAsia="Times New Roman" w:hAnsi="Times New Roman" w:cs="Times New Roman"/>
          <w:sz w:val="20"/>
          <w:szCs w:val="20"/>
        </w:rPr>
        <w:t xml:space="preserve"> Respondent contends that it is unclear whether North Carolina law requires a registered nurse to be capable of performing all functions open to that profession in order to obtain a license to practice, although McRee, the Executive Director of the State Board of Nursing, had informed Southeastern that the law did so require. See App. 138a-139a. Respondent further argues that even if she is not capable of meeting North Carolina's present licensing requirements, she still might succeed in obtaining a license in another jurisdiction. </w:t>
      </w:r>
    </w:p>
    <w:p w:rsidR="00C97183" w:rsidRPr="00C97183" w:rsidRDefault="00C97183" w:rsidP="00C97183">
      <w:pPr>
        <w:spacing w:before="100" w:beforeAutospacing="1" w:after="100" w:afterAutospacing="1" w:line="240" w:lineRule="auto"/>
        <w:rPr>
          <w:rFonts w:ascii="Times New Roman" w:eastAsia="Times New Roman" w:hAnsi="Times New Roman" w:cs="Times New Roman"/>
          <w:sz w:val="20"/>
          <w:szCs w:val="20"/>
        </w:rPr>
      </w:pPr>
      <w:r w:rsidRPr="00C97183">
        <w:rPr>
          <w:rFonts w:ascii="Times New Roman" w:eastAsia="Times New Roman" w:hAnsi="Times New Roman" w:cs="Times New Roman"/>
          <w:sz w:val="20"/>
          <w:szCs w:val="20"/>
        </w:rPr>
        <w:t>Respondent's argument misses the point. Southeastern's program, structured to train persons who will be able to perform all normal roles of a registered nurse, represents a legitimate academic policy, and is accepted by the State. In effect, it seeks to ensure that no graduate will pose a danger to the public in any professional role in which he or she might be cast. Even if the licensing requirements of North Carolina or some other State are less demanding, nothing in the Act requires an educational institution to lower its standards.</w:t>
      </w:r>
    </w:p>
    <w:p w:rsidR="005E1078" w:rsidRDefault="005E1078"/>
    <w:sectPr w:rsidR="005E1078">
      <w:head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0081" w:rsidRDefault="00A50081" w:rsidP="00562B29">
      <w:pPr>
        <w:spacing w:after="0" w:line="240" w:lineRule="auto"/>
      </w:pPr>
      <w:r>
        <w:separator/>
      </w:r>
    </w:p>
  </w:endnote>
  <w:endnote w:type="continuationSeparator" w:id="0">
    <w:p w:rsidR="00A50081" w:rsidRDefault="00A50081" w:rsidP="00562B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0081" w:rsidRDefault="00A50081" w:rsidP="00562B29">
      <w:pPr>
        <w:spacing w:after="0" w:line="240" w:lineRule="auto"/>
      </w:pPr>
      <w:r>
        <w:separator/>
      </w:r>
    </w:p>
  </w:footnote>
  <w:footnote w:type="continuationSeparator" w:id="0">
    <w:p w:rsidR="00A50081" w:rsidRDefault="00A50081" w:rsidP="00562B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8140564"/>
      <w:docPartObj>
        <w:docPartGallery w:val="Page Numbers (Margins)"/>
        <w:docPartUnique/>
      </w:docPartObj>
    </w:sdtPr>
    <w:sdtEndPr/>
    <w:sdtContent>
      <w:p w:rsidR="00562B29" w:rsidRDefault="00562B29">
        <w:pPr>
          <w:pStyle w:val="Header"/>
        </w:pPr>
        <w:r>
          <w:rPr>
            <w:noProof/>
          </w:rPr>
          <mc:AlternateContent>
            <mc:Choice Requires="wps">
              <w:drawing>
                <wp:anchor distT="0" distB="0" distL="114300" distR="114300" simplePos="0" relativeHeight="251659264" behindDoc="0" locked="0" layoutInCell="0" allowOverlap="1" wp14:editId="4E80E3B3">
                  <wp:simplePos x="0" y="0"/>
                  <wp:positionH relativeFrom="rightMargin">
                    <wp:align>center</wp:align>
                  </wp:positionH>
                  <wp:positionV relativeFrom="margin">
                    <wp:align>bottom</wp:align>
                  </wp:positionV>
                  <wp:extent cx="510540" cy="2183130"/>
                  <wp:effectExtent l="0" t="0" r="0" b="0"/>
                  <wp:wrapNone/>
                  <wp:docPr id="57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B29" w:rsidRDefault="00562B29">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rPr>
                                <w:fldChar w:fldCharType="begin"/>
                              </w:r>
                              <w:r>
                                <w:instrText xml:space="preserve"> PAGE    \* MERGEFORMAT </w:instrText>
                              </w:r>
                              <w:r>
                                <w:rPr>
                                  <w:rFonts w:eastAsiaTheme="minorEastAsia"/>
                                </w:rPr>
                                <w:fldChar w:fldCharType="separate"/>
                              </w:r>
                              <w:r w:rsidR="00D237E2" w:rsidRPr="00D237E2">
                                <w:rPr>
                                  <w:rFonts w:asciiTheme="majorHAnsi" w:eastAsiaTheme="majorEastAsia" w:hAnsiTheme="majorHAnsi" w:cstheme="majorBidi"/>
                                  <w:noProof/>
                                  <w:sz w:val="44"/>
                                  <w:szCs w:val="44"/>
                                </w:rPr>
                                <w:t>10</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" o:allowincell="f" filled="f" stroked="f">
                  <v:textbox style="layout-flow:vertical;mso-layout-flow-alt:bottom-to-top;mso-fit-shape-to-text:t">
                    <w:txbxContent>
                      <w:p w:rsidR="00562B29" w:rsidRDefault="00562B29">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rPr>
                          <w:fldChar w:fldCharType="begin"/>
                        </w:r>
                        <w:r>
                          <w:instrText xml:space="preserve"> PAGE    \* MERGEFORMAT </w:instrText>
                        </w:r>
                        <w:r>
                          <w:rPr>
                            <w:rFonts w:eastAsiaTheme="minorEastAsia"/>
                          </w:rPr>
                          <w:fldChar w:fldCharType="separate"/>
                        </w:r>
                        <w:r w:rsidR="00D237E2" w:rsidRPr="00D237E2">
                          <w:rPr>
                            <w:rFonts w:asciiTheme="majorHAnsi" w:eastAsiaTheme="majorEastAsia" w:hAnsiTheme="majorHAnsi" w:cstheme="majorBidi"/>
                            <w:noProof/>
                            <w:sz w:val="44"/>
                            <w:szCs w:val="44"/>
                          </w:rPr>
                          <w:t>10</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183"/>
    <w:rsid w:val="00562B29"/>
    <w:rsid w:val="005E1078"/>
    <w:rsid w:val="00A50081"/>
    <w:rsid w:val="00C97183"/>
    <w:rsid w:val="00D237E2"/>
    <w:rsid w:val="00E2636C"/>
    <w:rsid w:val="00E71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2B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2B29"/>
  </w:style>
  <w:style w:type="paragraph" w:styleId="Footer">
    <w:name w:val="footer"/>
    <w:basedOn w:val="Normal"/>
    <w:link w:val="FooterChar"/>
    <w:uiPriority w:val="99"/>
    <w:unhideWhenUsed/>
    <w:rsid w:val="00562B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2B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2B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2B29"/>
  </w:style>
  <w:style w:type="paragraph" w:styleId="Footer">
    <w:name w:val="footer"/>
    <w:basedOn w:val="Normal"/>
    <w:link w:val="FooterChar"/>
    <w:uiPriority w:val="99"/>
    <w:unhideWhenUsed/>
    <w:rsid w:val="00562B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2B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6213868">
      <w:bodyDiv w:val="1"/>
      <w:marLeft w:val="0"/>
      <w:marRight w:val="0"/>
      <w:marTop w:val="0"/>
      <w:marBottom w:val="0"/>
      <w:divBdr>
        <w:top w:val="none" w:sz="0" w:space="0" w:color="auto"/>
        <w:left w:val="none" w:sz="0" w:space="0" w:color="auto"/>
        <w:bottom w:val="none" w:sz="0" w:space="0" w:color="auto"/>
        <w:right w:val="none" w:sz="0" w:space="0" w:color="auto"/>
      </w:divBdr>
      <w:divsChild>
        <w:div w:id="920870891">
          <w:blockQuote w:val="1"/>
          <w:marLeft w:val="720"/>
          <w:marRight w:val="720"/>
          <w:marTop w:val="100"/>
          <w:marBottom w:val="100"/>
          <w:divBdr>
            <w:top w:val="none" w:sz="0" w:space="0" w:color="auto"/>
            <w:left w:val="none" w:sz="0" w:space="0" w:color="auto"/>
            <w:bottom w:val="none" w:sz="0" w:space="0" w:color="auto"/>
            <w:right w:val="none" w:sz="0" w:space="0" w:color="auto"/>
          </w:divBdr>
        </w:div>
        <w:div w:id="1437290838">
          <w:blockQuote w:val="1"/>
          <w:marLeft w:val="720"/>
          <w:marRight w:val="720"/>
          <w:marTop w:val="100"/>
          <w:marBottom w:val="100"/>
          <w:divBdr>
            <w:top w:val="none" w:sz="0" w:space="0" w:color="auto"/>
            <w:left w:val="none" w:sz="0" w:space="0" w:color="auto"/>
            <w:bottom w:val="none" w:sz="0" w:space="0" w:color="auto"/>
            <w:right w:val="none" w:sz="0" w:space="0" w:color="auto"/>
          </w:divBdr>
        </w:div>
        <w:div w:id="19500895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lar.google.com/scholar_case?case=7251750576924451731&amp;hl=en&amp;as_sdt=2006&amp;as_vis=1" TargetMode="External"/><Relationship Id="rId13" Type="http://schemas.openxmlformats.org/officeDocument/2006/relationships/hyperlink" Target="http://scholar.google.com/scholar_case?case=4056044229640402905&amp;hl=en&amp;as_sdt=2006&amp;as_vis=1" TargetMode="External"/><Relationship Id="rId18" Type="http://schemas.openxmlformats.org/officeDocument/2006/relationships/hyperlink" Target="http://scholar.google.com/scholar_case?case=7640733876913500692&amp;hl=en&amp;as_sdt=2006&amp;as_vis=1"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cholar.google.com/scholar?scidkt=11358353981473492448&amp;as_sdt=2&amp;hl=en" TargetMode="External"/><Relationship Id="rId12" Type="http://schemas.openxmlformats.org/officeDocument/2006/relationships/hyperlink" Target="http://scholar.google.com/scholar_case?case=12614460415382465344&amp;hl=en&amp;as_sdt=2006&amp;as_vis=1" TargetMode="External"/><Relationship Id="rId17" Type="http://schemas.openxmlformats.org/officeDocument/2006/relationships/hyperlink" Target="http://scholar.google.com/scholar_case?case=10164337249526753874&amp;hl=en&amp;as_sdt=2006&amp;as_vis=1" TargetMode="External"/><Relationship Id="rId2" Type="http://schemas.microsoft.com/office/2007/relationships/stylesWithEffects" Target="stylesWithEffects.xml"/><Relationship Id="rId16" Type="http://schemas.openxmlformats.org/officeDocument/2006/relationships/hyperlink" Target="http://scholar.google.com/scholar_case?case=13814830313484503953&amp;hl=en&amp;as_sdt=2006&amp;as_vis=1" TargetMode="External"/><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cholar.google.com/scholar_case?case=6598768187507599010&amp;hl=en&amp;as_sdt=2006&amp;as_vis=1" TargetMode="External"/><Relationship Id="rId5" Type="http://schemas.openxmlformats.org/officeDocument/2006/relationships/footnotes" Target="footnotes.xml"/><Relationship Id="rId15" Type="http://schemas.openxmlformats.org/officeDocument/2006/relationships/hyperlink" Target="http://scholar.google.com/scholar_case?case=6175107233819277921&amp;hl=en&amp;as_sdt=2006&amp;as_vis=1" TargetMode="External"/><Relationship Id="rId10" Type="http://schemas.openxmlformats.org/officeDocument/2006/relationships/hyperlink" Target="http://scholar.google.com/scholar_case?case=12807392334939508390&amp;hl=en&amp;as_sdt=2006&amp;as_vis=1" TargetMode="External"/><Relationship Id="rId19" Type="http://schemas.openxmlformats.org/officeDocument/2006/relationships/hyperlink" Target="http://scholar.google.com/scholar_case?case=11606200352274499710&amp;hl=en&amp;as_sdt=2006&amp;as_vis=1" TargetMode="External"/><Relationship Id="rId4" Type="http://schemas.openxmlformats.org/officeDocument/2006/relationships/webSettings" Target="webSettings.xml"/><Relationship Id="rId9" Type="http://schemas.openxmlformats.org/officeDocument/2006/relationships/hyperlink" Target="http://scholar.google.com/scholar_case?case=3768913450934324760&amp;hl=en&amp;as_sdt=2006&amp;as_vis=1" TargetMode="External"/><Relationship Id="rId14" Type="http://schemas.openxmlformats.org/officeDocument/2006/relationships/hyperlink" Target="http://scholar.google.com/scholar_case?case=14984481745490814096&amp;hl=en&amp;as_sdt=2006&amp;as_vis=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5829</Words>
  <Characters>33228</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swmaint</cp:lastModifiedBy>
  <cp:revision>2</cp:revision>
  <dcterms:created xsi:type="dcterms:W3CDTF">2014-04-30T18:44:00Z</dcterms:created>
  <dcterms:modified xsi:type="dcterms:W3CDTF">2014-04-30T18:44:00Z</dcterms:modified>
</cp:coreProperties>
</file>